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0C2C" w14:textId="326129A8" w:rsidR="0094142F" w:rsidRPr="00284320" w:rsidRDefault="0094142F" w:rsidP="007B620C">
      <w:pPr>
        <w:spacing w:after="0" w:line="240" w:lineRule="auto"/>
        <w:rPr>
          <w:rFonts w:ascii="Times New Roman" w:eastAsia="Times New Roman" w:hAnsi="Times New Roman" w:cs="Times New Roman"/>
          <w:lang w:eastAsia="pl-PL"/>
        </w:rPr>
      </w:pPr>
      <w:r w:rsidRPr="00284320">
        <w:rPr>
          <w:rFonts w:ascii="Times New Roman" w:eastAsia="Times New Roman" w:hAnsi="Times New Roman" w:cs="Times New Roman"/>
          <w:lang w:eastAsia="pl-PL"/>
        </w:rPr>
        <w:t>Załącznik</w:t>
      </w:r>
      <w:r w:rsidR="00025874">
        <w:rPr>
          <w:rFonts w:ascii="Times New Roman" w:eastAsia="Times New Roman" w:hAnsi="Times New Roman" w:cs="Times New Roman"/>
          <w:lang w:eastAsia="pl-PL"/>
        </w:rPr>
        <w:t xml:space="preserve"> </w:t>
      </w:r>
      <w:r w:rsidRPr="00284320">
        <w:rPr>
          <w:rFonts w:ascii="Times New Roman" w:eastAsia="Times New Roman" w:hAnsi="Times New Roman" w:cs="Times New Roman"/>
          <w:lang w:eastAsia="pl-PL"/>
        </w:rPr>
        <w:t>B.</w:t>
      </w:r>
      <w:r w:rsidR="00E20DDD">
        <w:rPr>
          <w:rFonts w:ascii="Times New Roman" w:eastAsia="Times New Roman" w:hAnsi="Times New Roman" w:cs="Times New Roman"/>
          <w:lang w:eastAsia="pl-PL"/>
        </w:rPr>
        <w:t>79</w:t>
      </w:r>
      <w:r w:rsidR="00FC5BF5">
        <w:rPr>
          <w:rFonts w:ascii="Times New Roman" w:eastAsia="Times New Roman" w:hAnsi="Times New Roman" w:cs="Times New Roman"/>
          <w:lang w:eastAsia="pl-PL"/>
        </w:rPr>
        <w:t>.</w:t>
      </w:r>
    </w:p>
    <w:p w14:paraId="598CEEA4" w14:textId="77777777" w:rsidR="0094142F" w:rsidRPr="00284320" w:rsidRDefault="0094142F" w:rsidP="007B620C">
      <w:pPr>
        <w:spacing w:after="0" w:line="240" w:lineRule="auto"/>
        <w:rPr>
          <w:rFonts w:ascii="Times New Roman" w:eastAsia="Times New Roman" w:hAnsi="Times New Roman" w:cs="Times New Roman"/>
          <w:lang w:eastAsia="pl-PL"/>
        </w:rPr>
      </w:pPr>
    </w:p>
    <w:p w14:paraId="0EABF0AF" w14:textId="7FAC4473" w:rsidR="0094142F" w:rsidRPr="00284320" w:rsidRDefault="0094142F" w:rsidP="007B620C">
      <w:pPr>
        <w:autoSpaceDE w:val="0"/>
        <w:autoSpaceDN w:val="0"/>
        <w:adjustRightInd w:val="0"/>
        <w:spacing w:after="240" w:line="240" w:lineRule="auto"/>
        <w:rPr>
          <w:rFonts w:ascii="Times New Roman" w:eastAsia="Times New Roman" w:hAnsi="Times New Roman" w:cs="Times New Roman"/>
          <w:b/>
          <w:bCs/>
          <w:sz w:val="28"/>
          <w:szCs w:val="24"/>
          <w:lang w:eastAsia="pl-PL"/>
        </w:rPr>
      </w:pPr>
      <w:r w:rsidRPr="00284320">
        <w:rPr>
          <w:rFonts w:ascii="Times New Roman" w:eastAsia="Times New Roman" w:hAnsi="Times New Roman" w:cs="Times New Roman"/>
          <w:b/>
          <w:bCs/>
          <w:sz w:val="28"/>
          <w:szCs w:val="24"/>
          <w:lang w:eastAsia="pl-PL"/>
        </w:rPr>
        <w:t>LECZENIE</w:t>
      </w:r>
      <w:r w:rsidR="00025874">
        <w:rPr>
          <w:rFonts w:ascii="Times New Roman" w:eastAsia="Times New Roman" w:hAnsi="Times New Roman" w:cs="Times New Roman"/>
          <w:b/>
          <w:bCs/>
          <w:sz w:val="28"/>
          <w:szCs w:val="24"/>
          <w:lang w:eastAsia="pl-PL"/>
        </w:rPr>
        <w:t xml:space="preserve"> </w:t>
      </w:r>
      <w:r w:rsidRPr="00284320">
        <w:rPr>
          <w:rFonts w:ascii="Times New Roman" w:eastAsia="Times New Roman" w:hAnsi="Times New Roman" w:cs="Times New Roman"/>
          <w:b/>
          <w:bCs/>
          <w:sz w:val="28"/>
          <w:szCs w:val="24"/>
          <w:lang w:eastAsia="pl-PL"/>
        </w:rPr>
        <w:t>CHORYCH</w:t>
      </w:r>
      <w:r w:rsidR="00025874">
        <w:rPr>
          <w:rFonts w:ascii="Times New Roman" w:eastAsia="Times New Roman" w:hAnsi="Times New Roman" w:cs="Times New Roman"/>
          <w:b/>
          <w:bCs/>
          <w:sz w:val="28"/>
          <w:szCs w:val="24"/>
          <w:lang w:eastAsia="pl-PL"/>
        </w:rPr>
        <w:t xml:space="preserve"> </w:t>
      </w:r>
      <w:r w:rsidRPr="00284320">
        <w:rPr>
          <w:rFonts w:ascii="Times New Roman" w:eastAsia="Times New Roman" w:hAnsi="Times New Roman" w:cs="Times New Roman"/>
          <w:b/>
          <w:bCs/>
          <w:sz w:val="28"/>
          <w:szCs w:val="24"/>
          <w:lang w:eastAsia="pl-PL"/>
        </w:rPr>
        <w:t>NA</w:t>
      </w:r>
      <w:r w:rsidR="00025874">
        <w:rPr>
          <w:rFonts w:ascii="Times New Roman" w:eastAsia="Times New Roman" w:hAnsi="Times New Roman" w:cs="Times New Roman"/>
          <w:b/>
          <w:bCs/>
          <w:sz w:val="28"/>
          <w:szCs w:val="24"/>
          <w:lang w:eastAsia="pl-PL"/>
        </w:rPr>
        <w:t xml:space="preserve"> </w:t>
      </w:r>
      <w:r w:rsidR="00676996" w:rsidRPr="00676996">
        <w:rPr>
          <w:rFonts w:ascii="Times New Roman" w:eastAsia="Times New Roman" w:hAnsi="Times New Roman" w:cs="Times New Roman"/>
          <w:b/>
          <w:bCs/>
          <w:sz w:val="28"/>
          <w:szCs w:val="24"/>
          <w:lang w:eastAsia="pl-PL"/>
        </w:rPr>
        <w:t>PRZEWLEKŁĄ BIAŁACZKĘ LIMFOCYTOWĄ (ICD-10: C91.1)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4293"/>
        <w:gridCol w:w="4296"/>
      </w:tblGrid>
      <w:tr w:rsidR="009C2DB3" w:rsidRPr="00284320" w14:paraId="6FC2E653" w14:textId="77777777" w:rsidTr="0080193D">
        <w:trPr>
          <w:trHeight w:val="567"/>
        </w:trPr>
        <w:tc>
          <w:tcPr>
            <w:tcW w:w="15388" w:type="dxa"/>
            <w:gridSpan w:val="3"/>
            <w:vAlign w:val="center"/>
          </w:tcPr>
          <w:p w14:paraId="1FC1FAE5" w14:textId="35DDE8FE"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ZAKRES</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ŚWIADCZENIA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GWARANTOWANEGO</w:t>
            </w:r>
          </w:p>
        </w:tc>
      </w:tr>
      <w:tr w:rsidR="00925C32" w:rsidRPr="00284320" w14:paraId="4D3A9B77" w14:textId="77777777" w:rsidTr="0080193D">
        <w:trPr>
          <w:trHeight w:val="567"/>
        </w:trPr>
        <w:tc>
          <w:tcPr>
            <w:tcW w:w="6799" w:type="dxa"/>
            <w:vAlign w:val="center"/>
          </w:tcPr>
          <w:p w14:paraId="230AF4C4" w14:textId="77777777" w:rsidR="009C2DB3" w:rsidRPr="00284320" w:rsidRDefault="009C2DB3" w:rsidP="009F40D9">
            <w:pPr>
              <w:autoSpaceDE w:val="0"/>
              <w:autoSpaceDN w:val="0"/>
              <w:adjustRightInd w:val="0"/>
              <w:spacing w:after="0"/>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ŚWIADCZENIOBIORCY</w:t>
            </w:r>
          </w:p>
        </w:tc>
        <w:tc>
          <w:tcPr>
            <w:tcW w:w="4293" w:type="dxa"/>
            <w:vAlign w:val="center"/>
          </w:tcPr>
          <w:p w14:paraId="765CCB5B" w14:textId="3374A134"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SCHEMAT</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DAWKOWANIA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LEKÓW</w:t>
            </w:r>
            <w:r w:rsidR="00025874">
              <w:rPr>
                <w:rFonts w:ascii="Times New Roman" w:eastAsia="Times New Roman" w:hAnsi="Times New Roman" w:cs="Times New Roman"/>
                <w:b/>
                <w:bCs/>
                <w:sz w:val="20"/>
                <w:szCs w:val="20"/>
                <w:lang w:eastAsia="pl-PL"/>
              </w:rPr>
              <w:t xml:space="preserve"> </w:t>
            </w:r>
            <w:r w:rsidR="009F40D9">
              <w:rPr>
                <w:rFonts w:ascii="Times New Roman" w:eastAsia="Times New Roman" w:hAnsi="Times New Roman" w:cs="Times New Roman"/>
                <w:b/>
                <w:bCs/>
                <w:sz w:val="20"/>
                <w:szCs w:val="20"/>
                <w:lang w:eastAsia="pl-PL"/>
              </w:rPr>
              <w:br/>
            </w:r>
            <w:r w:rsidRPr="00284320">
              <w:rPr>
                <w:rFonts w:ascii="Times New Roman" w:eastAsia="Times New Roman" w:hAnsi="Times New Roman" w:cs="Times New Roman"/>
                <w:b/>
                <w:bCs/>
                <w:sz w:val="20"/>
                <w:szCs w:val="20"/>
                <w:lang w:eastAsia="pl-PL"/>
              </w:rPr>
              <w:t>W</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PROGRAMIE</w:t>
            </w:r>
          </w:p>
        </w:tc>
        <w:tc>
          <w:tcPr>
            <w:tcW w:w="4296" w:type="dxa"/>
            <w:vAlign w:val="center"/>
          </w:tcPr>
          <w:p w14:paraId="60F25F30" w14:textId="00B6379C"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BADANIA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DIAGNOSTYCZNE</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WYKONYWANE</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W</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RAMACH</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PROGRAMU</w:t>
            </w:r>
          </w:p>
        </w:tc>
      </w:tr>
      <w:tr w:rsidR="00925C32" w:rsidRPr="00284320" w14:paraId="407F48B7" w14:textId="77777777" w:rsidTr="0080193D">
        <w:trPr>
          <w:trHeight w:val="20"/>
        </w:trPr>
        <w:tc>
          <w:tcPr>
            <w:tcW w:w="6799" w:type="dxa"/>
          </w:tcPr>
          <w:p w14:paraId="4A1D4B05" w14:textId="1E5D8F69" w:rsidR="00676996" w:rsidRPr="00C81D3A" w:rsidRDefault="00676996" w:rsidP="00C81D3A">
            <w:pPr>
              <w:autoSpaceDE w:val="0"/>
              <w:autoSpaceDN w:val="0"/>
              <w:adjustRightInd w:val="0"/>
              <w:spacing w:before="120"/>
              <w:rPr>
                <w:rFonts w:ascii="Times New Roman" w:eastAsia="Times New Roman" w:hAnsi="Times New Roman" w:cs="Times New Roman"/>
                <w:b/>
                <w:bCs/>
                <w:sz w:val="20"/>
                <w:szCs w:val="20"/>
                <w:lang w:eastAsia="pl-PL"/>
              </w:rPr>
            </w:pPr>
            <w:r w:rsidRPr="00C81D3A">
              <w:rPr>
                <w:rFonts w:ascii="Times New Roman" w:eastAsia="Times New Roman" w:hAnsi="Times New Roman" w:cs="Times New Roman"/>
                <w:b/>
                <w:bCs/>
                <w:sz w:val="20"/>
                <w:szCs w:val="20"/>
                <w:lang w:eastAsia="pl-PL"/>
              </w:rPr>
              <w:t xml:space="preserve">W ramach programu lekowego </w:t>
            </w:r>
            <w:r w:rsidR="00292B69" w:rsidRPr="00C81D3A">
              <w:rPr>
                <w:rFonts w:ascii="Times New Roman" w:eastAsia="Times New Roman" w:hAnsi="Times New Roman" w:cs="Times New Roman"/>
                <w:b/>
                <w:bCs/>
                <w:sz w:val="20"/>
                <w:szCs w:val="20"/>
                <w:lang w:eastAsia="pl-PL"/>
              </w:rPr>
              <w:t xml:space="preserve">chorym na przewlekłą białaczkę limfocytową udostępnia się poniższe terapie, w pierwszej i kolejnych </w:t>
            </w:r>
            <w:r w:rsidRPr="00C81D3A">
              <w:rPr>
                <w:rFonts w:ascii="Times New Roman" w:eastAsia="Times New Roman" w:hAnsi="Times New Roman" w:cs="Times New Roman"/>
                <w:b/>
                <w:bCs/>
                <w:sz w:val="20"/>
                <w:szCs w:val="20"/>
                <w:lang w:eastAsia="pl-PL"/>
              </w:rPr>
              <w:t xml:space="preserve">liniach leczenia, </w:t>
            </w:r>
            <w:r w:rsidRPr="00C81D3A">
              <w:rPr>
                <w:rFonts w:ascii="Times New Roman" w:eastAsia="Times New Roman" w:hAnsi="Times New Roman" w:cs="Times New Roman"/>
                <w:b/>
                <w:bCs/>
                <w:sz w:val="20"/>
                <w:szCs w:val="20"/>
                <w:u w:val="single"/>
                <w:lang w:eastAsia="pl-PL"/>
              </w:rPr>
              <w:t>zgodnie ze wskazanymi w opisie programu warunkami i kryteriami</w:t>
            </w:r>
            <w:r w:rsidRPr="00C81D3A">
              <w:rPr>
                <w:rFonts w:ascii="Times New Roman" w:eastAsia="Times New Roman" w:hAnsi="Times New Roman" w:cs="Times New Roman"/>
                <w:b/>
                <w:bCs/>
                <w:sz w:val="20"/>
                <w:szCs w:val="20"/>
                <w:lang w:eastAsia="pl-PL"/>
              </w:rPr>
              <w:t>:</w:t>
            </w:r>
          </w:p>
          <w:p w14:paraId="60D3D103" w14:textId="77777777" w:rsidR="00676996" w:rsidRPr="0080193D" w:rsidRDefault="00676996" w:rsidP="00C81D3A">
            <w:pPr>
              <w:pStyle w:val="Akapitzlist"/>
              <w:numPr>
                <w:ilvl w:val="3"/>
                <w:numId w:val="34"/>
              </w:numPr>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w I linii leczenia:</w:t>
            </w:r>
          </w:p>
          <w:p w14:paraId="473BD2D7" w14:textId="059EF552" w:rsidR="003A3198"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z delecją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mutacją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lub niezmutowanym statusem </w:t>
            </w:r>
            <w:proofErr w:type="spellStart"/>
            <w:r w:rsidRPr="0080193D">
              <w:rPr>
                <w:rFonts w:ascii="Times New Roman" w:eastAsia="Times New Roman" w:hAnsi="Times New Roman" w:cs="Times New Roman"/>
                <w:i/>
                <w:iCs/>
                <w:sz w:val="20"/>
                <w:szCs w:val="20"/>
                <w:lang w:eastAsia="pl-PL"/>
              </w:rPr>
              <w:t>IgHV</w:t>
            </w:r>
            <w:proofErr w:type="spellEnd"/>
            <w:r w:rsidRPr="0080193D">
              <w:rPr>
                <w:rFonts w:ascii="Times New Roman" w:eastAsia="Times New Roman" w:hAnsi="Times New Roman" w:cs="Times New Roman"/>
                <w:i/>
                <w:iCs/>
                <w:sz w:val="20"/>
                <w:szCs w:val="20"/>
                <w:lang w:eastAsia="pl-PL"/>
              </w:rPr>
              <w:t>:</w:t>
            </w:r>
          </w:p>
          <w:p w14:paraId="1613E8F0" w14:textId="6C254D70" w:rsidR="003A3198"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ibrutynib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Pr="0080193D">
              <w:rPr>
                <w:rFonts w:ascii="Times New Roman" w:eastAsia="Times New Roman" w:hAnsi="Times New Roman" w:cs="Times New Roman"/>
                <w:i/>
                <w:iCs/>
                <w:sz w:val="20"/>
                <w:szCs w:val="20"/>
                <w:lang w:eastAsia="pl-PL"/>
              </w:rPr>
              <w:t>,</w:t>
            </w:r>
          </w:p>
          <w:p w14:paraId="02C00161" w14:textId="77777777" w:rsidR="003A3198" w:rsidRPr="0080193D" w:rsidRDefault="003A3198" w:rsidP="00C81D3A">
            <w:pPr>
              <w:pStyle w:val="Akapitzlist"/>
              <w:ind w:left="68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al</w:t>
            </w:r>
            <w:r w:rsidR="00676996" w:rsidRPr="0080193D">
              <w:rPr>
                <w:rFonts w:ascii="Times New Roman" w:eastAsia="Times New Roman" w:hAnsi="Times New Roman" w:cs="Times New Roman"/>
                <w:sz w:val="20"/>
                <w:szCs w:val="20"/>
                <w:lang w:eastAsia="pl-PL"/>
              </w:rPr>
              <w:t>bo</w:t>
            </w:r>
          </w:p>
          <w:p w14:paraId="0738BCC6" w14:textId="1BEB4985" w:rsidR="0005531F"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akalabrutynib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00C81D3A">
              <w:rPr>
                <w:rFonts w:ascii="Times New Roman" w:eastAsia="Times New Roman" w:hAnsi="Times New Roman" w:cs="Times New Roman"/>
                <w:i/>
                <w:iCs/>
                <w:sz w:val="20"/>
                <w:szCs w:val="20"/>
                <w:lang w:eastAsia="pl-PL"/>
              </w:rPr>
              <w:t>;</w:t>
            </w:r>
          </w:p>
          <w:p w14:paraId="7A0C5338" w14:textId="3A14951B" w:rsidR="003A3198"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bez względu na status delecji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mutacji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258F20E6" w14:textId="450FCDF4" w:rsidR="00676996"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obinutuzumab</w:t>
            </w:r>
            <w:proofErr w:type="spellEnd"/>
            <w:r w:rsidRPr="0080193D">
              <w:rPr>
                <w:rFonts w:ascii="Times New Roman" w:eastAsia="Times New Roman" w:hAnsi="Times New Roman" w:cs="Times New Roman"/>
                <w:i/>
                <w:iCs/>
                <w:sz w:val="20"/>
                <w:szCs w:val="20"/>
                <w:lang w:eastAsia="pl-PL"/>
              </w:rPr>
              <w:t xml:space="preserve"> w skojarzeniu z </w:t>
            </w:r>
            <w:proofErr w:type="spellStart"/>
            <w:r w:rsidRPr="0080193D">
              <w:rPr>
                <w:rFonts w:ascii="Times New Roman" w:eastAsia="Times New Roman" w:hAnsi="Times New Roman" w:cs="Times New Roman"/>
                <w:i/>
                <w:iCs/>
                <w:sz w:val="20"/>
                <w:szCs w:val="20"/>
                <w:lang w:eastAsia="pl-PL"/>
              </w:rPr>
              <w:t>chlorambucylem</w:t>
            </w:r>
            <w:proofErr w:type="spellEnd"/>
            <w:r w:rsidRPr="0080193D">
              <w:rPr>
                <w:rFonts w:ascii="Times New Roman" w:eastAsia="Times New Roman" w:hAnsi="Times New Roman" w:cs="Times New Roman"/>
                <w:i/>
                <w:iCs/>
                <w:sz w:val="20"/>
                <w:szCs w:val="20"/>
                <w:lang w:eastAsia="pl-PL"/>
              </w:rPr>
              <w:t>,</w:t>
            </w:r>
          </w:p>
          <w:p w14:paraId="7EEDE507" w14:textId="72C99E3C" w:rsidR="00676996" w:rsidRPr="0080193D" w:rsidRDefault="00C81D3A" w:rsidP="00C81D3A">
            <w:pPr>
              <w:pStyle w:val="Akapitzlist"/>
              <w:autoSpaceDE w:val="0"/>
              <w:autoSpaceDN w:val="0"/>
              <w:adjustRightInd w:val="0"/>
              <w:ind w:left="680"/>
              <w:contextualSpacing w:val="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r w:rsidR="003A3198" w:rsidRPr="0080193D">
              <w:rPr>
                <w:rFonts w:ascii="Times New Roman" w:eastAsia="Times New Roman" w:hAnsi="Times New Roman" w:cs="Times New Roman"/>
                <w:sz w:val="20"/>
                <w:szCs w:val="20"/>
                <w:lang w:eastAsia="pl-PL"/>
              </w:rPr>
              <w:t>lbo</w:t>
            </w:r>
          </w:p>
          <w:p w14:paraId="077836B5" w14:textId="08CCB814"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wenetoklaks</w:t>
            </w:r>
            <w:proofErr w:type="spellEnd"/>
            <w:r w:rsidRPr="0080193D">
              <w:rPr>
                <w:rFonts w:ascii="Times New Roman" w:eastAsia="Times New Roman" w:hAnsi="Times New Roman" w:cs="Times New Roman"/>
                <w:i/>
                <w:iCs/>
                <w:sz w:val="20"/>
                <w:szCs w:val="20"/>
                <w:lang w:eastAsia="pl-PL"/>
              </w:rPr>
              <w:t xml:space="preserve"> w skojarzeniu z </w:t>
            </w:r>
            <w:proofErr w:type="spellStart"/>
            <w:r w:rsidRPr="0080193D">
              <w:rPr>
                <w:rFonts w:ascii="Times New Roman" w:eastAsia="Times New Roman" w:hAnsi="Times New Roman" w:cs="Times New Roman"/>
                <w:i/>
                <w:iCs/>
                <w:sz w:val="20"/>
                <w:szCs w:val="20"/>
                <w:lang w:eastAsia="pl-PL"/>
              </w:rPr>
              <w:t>obinutuzumabem</w:t>
            </w:r>
            <w:proofErr w:type="spellEnd"/>
            <w:r w:rsidR="00C81D3A">
              <w:rPr>
                <w:rFonts w:ascii="Times New Roman" w:eastAsia="Times New Roman" w:hAnsi="Times New Roman" w:cs="Times New Roman"/>
                <w:i/>
                <w:iCs/>
                <w:sz w:val="20"/>
                <w:szCs w:val="20"/>
                <w:lang w:eastAsia="pl-PL"/>
              </w:rPr>
              <w:t>;</w:t>
            </w:r>
          </w:p>
          <w:p w14:paraId="477C08FD" w14:textId="77777777" w:rsidR="00676996" w:rsidRPr="0080193D" w:rsidRDefault="00676996" w:rsidP="00C81D3A">
            <w:pPr>
              <w:pStyle w:val="Akapitzlist"/>
              <w:numPr>
                <w:ilvl w:val="3"/>
                <w:numId w:val="34"/>
              </w:numPr>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w II i kolejnych liniach leczenia:</w:t>
            </w:r>
          </w:p>
          <w:p w14:paraId="5D18230C" w14:textId="69570123" w:rsidR="00676996"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z delecją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mutacją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64136B96" w14:textId="77777777" w:rsidR="00E52DEA" w:rsidRPr="0080193D" w:rsidRDefault="00CE5F87"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proofErr w:type="spellStart"/>
            <w:r w:rsidRPr="0080193D">
              <w:rPr>
                <w:rFonts w:ascii="Times New Roman" w:eastAsia="Times New Roman" w:hAnsi="Times New Roman" w:cs="Times New Roman"/>
                <w:i/>
                <w:iCs/>
                <w:sz w:val="20"/>
                <w:szCs w:val="20"/>
                <w:lang w:eastAsia="pl-PL"/>
              </w:rPr>
              <w:t>wenetoklaks</w:t>
            </w:r>
            <w:proofErr w:type="spellEnd"/>
            <w:r w:rsidRPr="0080193D">
              <w:rPr>
                <w:rFonts w:ascii="Times New Roman" w:eastAsia="Times New Roman" w:hAnsi="Times New Roman" w:cs="Times New Roman"/>
                <w:i/>
                <w:iCs/>
                <w:sz w:val="20"/>
                <w:szCs w:val="20"/>
                <w:lang w:eastAsia="pl-PL"/>
              </w:rPr>
              <w:t xml:space="preserve"> w skojarzeniu z </w:t>
            </w:r>
            <w:proofErr w:type="spellStart"/>
            <w:r w:rsidRPr="0080193D">
              <w:rPr>
                <w:rFonts w:ascii="Times New Roman" w:eastAsia="Times New Roman" w:hAnsi="Times New Roman" w:cs="Times New Roman"/>
                <w:i/>
                <w:iCs/>
                <w:sz w:val="20"/>
                <w:szCs w:val="20"/>
                <w:lang w:eastAsia="pl-PL"/>
              </w:rPr>
              <w:t>rytuksymabem</w:t>
            </w:r>
            <w:proofErr w:type="spellEnd"/>
            <w:r w:rsidRPr="0080193D">
              <w:rPr>
                <w:rFonts w:ascii="Times New Roman" w:eastAsia="Times New Roman" w:hAnsi="Times New Roman" w:cs="Times New Roman"/>
                <w:i/>
                <w:iCs/>
                <w:sz w:val="20"/>
                <w:szCs w:val="20"/>
                <w:lang w:eastAsia="pl-PL"/>
              </w:rPr>
              <w:t>,</w:t>
            </w:r>
          </w:p>
          <w:p w14:paraId="64C802E0" w14:textId="12007D2C" w:rsidR="00CE5F87" w:rsidRPr="0080193D" w:rsidRDefault="0035672C"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proofErr w:type="spellStart"/>
            <w:r w:rsidRPr="0080193D">
              <w:rPr>
                <w:rFonts w:ascii="Times New Roman" w:eastAsia="Times New Roman" w:hAnsi="Times New Roman" w:cs="Times New Roman"/>
                <w:i/>
                <w:iCs/>
                <w:sz w:val="20"/>
                <w:szCs w:val="20"/>
                <w:lang w:eastAsia="pl-PL"/>
              </w:rPr>
              <w:t>ibrutynib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00741373" w:rsidRPr="0080193D">
              <w:rPr>
                <w:rFonts w:ascii="Times New Roman" w:eastAsia="Times New Roman" w:hAnsi="Times New Roman" w:cs="Times New Roman"/>
                <w:i/>
                <w:iCs/>
                <w:sz w:val="20"/>
                <w:szCs w:val="20"/>
                <w:lang w:eastAsia="pl-PL"/>
              </w:rPr>
              <w:t>,</w:t>
            </w:r>
          </w:p>
          <w:p w14:paraId="70AF8C6A" w14:textId="4BD18146" w:rsidR="0067254F" w:rsidRPr="0080193D" w:rsidRDefault="00741373"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akalabrutynib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0067254F" w:rsidRPr="0080193D">
              <w:rPr>
                <w:rFonts w:ascii="Times New Roman" w:eastAsia="Times New Roman" w:hAnsi="Times New Roman" w:cs="Times New Roman"/>
                <w:sz w:val="20"/>
                <w:szCs w:val="20"/>
                <w:lang w:eastAsia="pl-PL"/>
              </w:rPr>
              <w:t>,</w:t>
            </w:r>
          </w:p>
          <w:p w14:paraId="2DF3CC26" w14:textId="155A6352"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wenetoklaks</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00C81D3A">
              <w:rPr>
                <w:rFonts w:ascii="Times New Roman" w:eastAsia="Times New Roman" w:hAnsi="Times New Roman" w:cs="Times New Roman"/>
                <w:i/>
                <w:iCs/>
                <w:sz w:val="20"/>
                <w:szCs w:val="20"/>
                <w:lang w:eastAsia="pl-PL"/>
              </w:rPr>
              <w:t>;</w:t>
            </w:r>
          </w:p>
          <w:p w14:paraId="7CEBA924" w14:textId="55CF3B04" w:rsidR="00676996"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lastRenderedPageBreak/>
              <w:t>pacjentom bez</w:t>
            </w:r>
            <w:r w:rsidR="0067254F"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delecji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mutacji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57052212" w14:textId="3DA3384B" w:rsidR="0035672C" w:rsidRPr="0080193D" w:rsidRDefault="0035672C"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wenetoklaks</w:t>
            </w:r>
            <w:proofErr w:type="spellEnd"/>
            <w:r w:rsidRPr="0080193D">
              <w:rPr>
                <w:rFonts w:ascii="Times New Roman" w:eastAsia="Times New Roman" w:hAnsi="Times New Roman" w:cs="Times New Roman"/>
                <w:i/>
                <w:iCs/>
                <w:sz w:val="20"/>
                <w:szCs w:val="20"/>
                <w:lang w:eastAsia="pl-PL"/>
              </w:rPr>
              <w:t xml:space="preserve"> w skojarzeniu z </w:t>
            </w:r>
            <w:proofErr w:type="spellStart"/>
            <w:r w:rsidRPr="0080193D">
              <w:rPr>
                <w:rFonts w:ascii="Times New Roman" w:eastAsia="Times New Roman" w:hAnsi="Times New Roman" w:cs="Times New Roman"/>
                <w:i/>
                <w:iCs/>
                <w:sz w:val="20"/>
                <w:szCs w:val="20"/>
                <w:lang w:eastAsia="pl-PL"/>
              </w:rPr>
              <w:t>rytuksymabem</w:t>
            </w:r>
            <w:proofErr w:type="spellEnd"/>
            <w:r w:rsidRPr="0080193D">
              <w:rPr>
                <w:rFonts w:ascii="Times New Roman" w:eastAsia="Times New Roman" w:hAnsi="Times New Roman" w:cs="Times New Roman"/>
                <w:i/>
                <w:iCs/>
                <w:sz w:val="20"/>
                <w:szCs w:val="20"/>
                <w:lang w:eastAsia="pl-PL"/>
              </w:rPr>
              <w:t>,</w:t>
            </w:r>
          </w:p>
          <w:p w14:paraId="503B4463" w14:textId="570BA7D0"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proofErr w:type="spellStart"/>
            <w:r w:rsidRPr="0080193D">
              <w:rPr>
                <w:rFonts w:ascii="Times New Roman" w:eastAsia="Times New Roman" w:hAnsi="Times New Roman" w:cs="Times New Roman"/>
                <w:i/>
                <w:iCs/>
                <w:sz w:val="20"/>
                <w:szCs w:val="20"/>
                <w:lang w:eastAsia="pl-PL"/>
              </w:rPr>
              <w:t>ibrutynib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Pr="0080193D">
              <w:rPr>
                <w:rFonts w:ascii="Times New Roman" w:eastAsia="Times New Roman" w:hAnsi="Times New Roman" w:cs="Times New Roman"/>
                <w:i/>
                <w:iCs/>
                <w:sz w:val="20"/>
                <w:szCs w:val="20"/>
                <w:lang w:eastAsia="pl-PL"/>
              </w:rPr>
              <w:t>,</w:t>
            </w:r>
          </w:p>
          <w:p w14:paraId="0CBB6DB3" w14:textId="69AB77DD"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proofErr w:type="spellStart"/>
            <w:r w:rsidRPr="0080193D">
              <w:rPr>
                <w:rFonts w:ascii="Times New Roman" w:eastAsia="Times New Roman" w:hAnsi="Times New Roman" w:cs="Times New Roman"/>
                <w:i/>
                <w:iCs/>
                <w:sz w:val="20"/>
                <w:szCs w:val="20"/>
                <w:lang w:eastAsia="pl-PL"/>
              </w:rPr>
              <w:t>akalabrutynib</w:t>
            </w:r>
            <w:proofErr w:type="spellEnd"/>
            <w:r w:rsidRPr="0080193D">
              <w:rPr>
                <w:rFonts w:ascii="Times New Roman" w:eastAsia="Times New Roman" w:hAnsi="Times New Roman" w:cs="Times New Roman"/>
                <w:i/>
                <w:iCs/>
                <w:sz w:val="20"/>
                <w:szCs w:val="20"/>
                <w:lang w:eastAsia="pl-PL"/>
              </w:rPr>
              <w:t xml:space="preserve"> w </w:t>
            </w:r>
            <w:proofErr w:type="spellStart"/>
            <w:r w:rsidRPr="0080193D">
              <w:rPr>
                <w:rFonts w:ascii="Times New Roman" w:eastAsia="Times New Roman" w:hAnsi="Times New Roman" w:cs="Times New Roman"/>
                <w:i/>
                <w:iCs/>
                <w:sz w:val="20"/>
                <w:szCs w:val="20"/>
                <w:lang w:eastAsia="pl-PL"/>
              </w:rPr>
              <w:t>monoterapii</w:t>
            </w:r>
            <w:proofErr w:type="spellEnd"/>
            <w:r w:rsidR="00C03FC9" w:rsidRPr="0080193D">
              <w:rPr>
                <w:rFonts w:ascii="Times New Roman" w:eastAsia="Times New Roman" w:hAnsi="Times New Roman" w:cs="Times New Roman"/>
                <w:i/>
                <w:iCs/>
                <w:sz w:val="20"/>
                <w:szCs w:val="20"/>
                <w:lang w:eastAsia="pl-PL"/>
              </w:rPr>
              <w:t>.</w:t>
            </w:r>
          </w:p>
          <w:p w14:paraId="46670DAB" w14:textId="77777777" w:rsidR="006C0C20" w:rsidRPr="0080193D" w:rsidRDefault="006C0C20" w:rsidP="0080193D">
            <w:pPr>
              <w:autoSpaceDE w:val="0"/>
              <w:autoSpaceDN w:val="0"/>
              <w:adjustRightInd w:val="0"/>
              <w:rPr>
                <w:rFonts w:ascii="Times New Roman" w:eastAsia="Times New Roman" w:hAnsi="Times New Roman" w:cs="Times New Roman"/>
                <w:color w:val="000000"/>
                <w:sz w:val="20"/>
                <w:szCs w:val="20"/>
                <w:lang w:eastAsia="pl-PL"/>
              </w:rPr>
            </w:pPr>
          </w:p>
          <w:p w14:paraId="6543D140" w14:textId="5AA51C6F" w:rsidR="001B2161" w:rsidRPr="0080193D" w:rsidRDefault="00CC1C62" w:rsidP="00C81D3A">
            <w:pPr>
              <w:pStyle w:val="Akapitzlist"/>
              <w:numPr>
                <w:ilvl w:val="0"/>
                <w:numId w:val="35"/>
              </w:numPr>
              <w:autoSpaceDE w:val="0"/>
              <w:autoSpaceDN w:val="0"/>
              <w:adjustRightInd w:val="0"/>
              <w:contextualSpacing w:val="0"/>
              <w:rPr>
                <w:rFonts w:ascii="Times New Roman" w:eastAsia="Times New Roman" w:hAnsi="Times New Roman" w:cs="Times New Roman"/>
                <w:b/>
                <w:bCs/>
                <w:color w:val="000000"/>
                <w:sz w:val="20"/>
                <w:szCs w:val="20"/>
                <w:lang w:eastAsia="pl-PL"/>
              </w:rPr>
            </w:pPr>
            <w:r w:rsidRPr="0080193D">
              <w:rPr>
                <w:rFonts w:ascii="Times New Roman" w:eastAsia="Times New Roman" w:hAnsi="Times New Roman" w:cs="Times New Roman"/>
                <w:b/>
                <w:bCs/>
                <w:sz w:val="20"/>
                <w:szCs w:val="20"/>
                <w:lang w:eastAsia="pl-PL"/>
              </w:rPr>
              <w:t>Kryteria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kwalifikacji</w:t>
            </w:r>
          </w:p>
          <w:p w14:paraId="73DF7DB5" w14:textId="6B632763" w:rsidR="00105681" w:rsidRPr="00C81D3A" w:rsidRDefault="00890119" w:rsidP="00C81D3A">
            <w:pPr>
              <w:autoSpaceDE w:val="0"/>
              <w:autoSpaceDN w:val="0"/>
              <w:adjustRightInd w:val="0"/>
              <w:rPr>
                <w:rFonts w:ascii="Times New Roman" w:eastAsia="Times New Roman" w:hAnsi="Times New Roman" w:cs="Times New Roman"/>
                <w:color w:val="000000"/>
                <w:sz w:val="20"/>
                <w:szCs w:val="20"/>
                <w:lang w:eastAsia="pl-PL"/>
              </w:rPr>
            </w:pPr>
            <w:r w:rsidRPr="00C81D3A">
              <w:rPr>
                <w:rFonts w:ascii="Times New Roman" w:eastAsia="Times New Roman" w:hAnsi="Times New Roman" w:cs="Times New Roman"/>
                <w:color w:val="000000"/>
                <w:sz w:val="20"/>
                <w:szCs w:val="20"/>
                <w:lang w:eastAsia="pl-PL"/>
              </w:rPr>
              <w:t>Muszą</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zostać</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spełnione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łącznie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kryteria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ogólne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(1.1.)</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oraz</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kryteria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szczegółowe</w:t>
            </w:r>
            <w:r w:rsidR="00025874" w:rsidRPr="00C81D3A">
              <w:rPr>
                <w:rFonts w:ascii="Times New Roman" w:eastAsia="Times New Roman" w:hAnsi="Times New Roman" w:cs="Times New Roman"/>
                <w:color w:val="000000"/>
                <w:sz w:val="20"/>
                <w:szCs w:val="20"/>
                <w:lang w:eastAsia="pl-PL"/>
              </w:rPr>
              <w:t xml:space="preserve"> </w:t>
            </w:r>
            <w:r w:rsidR="00B7400E" w:rsidRPr="00C81D3A">
              <w:rPr>
                <w:rFonts w:ascii="Times New Roman" w:eastAsia="Times New Roman" w:hAnsi="Times New Roman" w:cs="Times New Roman"/>
                <w:color w:val="000000"/>
                <w:sz w:val="20"/>
                <w:szCs w:val="20"/>
                <w:lang w:eastAsia="pl-PL"/>
              </w:rPr>
              <w:t>(1.2.</w:t>
            </w:r>
            <w:r w:rsidR="0041228D" w:rsidRPr="00C81D3A">
              <w:rPr>
                <w:rFonts w:ascii="Times New Roman" w:eastAsia="Times New Roman" w:hAnsi="Times New Roman" w:cs="Times New Roman"/>
                <w:color w:val="000000"/>
                <w:sz w:val="20"/>
                <w:szCs w:val="20"/>
                <w:lang w:eastAsia="pl-PL"/>
              </w:rPr>
              <w:t xml:space="preserve"> albo 1.3.</w:t>
            </w:r>
            <w:r w:rsidR="00B7400E" w:rsidRPr="00C81D3A">
              <w:rPr>
                <w:rFonts w:ascii="Times New Roman" w:eastAsia="Times New Roman" w:hAnsi="Times New Roman" w:cs="Times New Roman"/>
                <w:color w:val="000000"/>
                <w:sz w:val="20"/>
                <w:szCs w:val="20"/>
                <w:lang w:eastAsia="pl-PL"/>
              </w:rPr>
              <w:t>)</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dla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poszczególnych</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terapii.</w:t>
            </w:r>
          </w:p>
          <w:p w14:paraId="19955CDF" w14:textId="578F0F20" w:rsidR="001D15F3" w:rsidRPr="0080193D" w:rsidRDefault="00481ACF" w:rsidP="00C81D3A">
            <w:pPr>
              <w:pStyle w:val="Akapitzlist"/>
              <w:numPr>
                <w:ilvl w:val="1"/>
                <w:numId w:val="35"/>
              </w:numPr>
              <w:autoSpaceDE w:val="0"/>
              <w:autoSpaceDN w:val="0"/>
              <w:adjustRightInd w:val="0"/>
              <w:contextualSpacing w:val="0"/>
              <w:rPr>
                <w:rFonts w:ascii="Times New Roman" w:eastAsia="Times New Roman" w:hAnsi="Times New Roman" w:cs="Times New Roman"/>
                <w:b/>
                <w:bCs/>
                <w:color w:val="000000"/>
                <w:sz w:val="20"/>
                <w:szCs w:val="20"/>
                <w:lang w:eastAsia="pl-PL"/>
              </w:rPr>
            </w:pPr>
            <w:r w:rsidRPr="0080193D">
              <w:rPr>
                <w:rFonts w:ascii="Times New Roman" w:eastAsia="Times New Roman" w:hAnsi="Times New Roman" w:cs="Times New Roman"/>
                <w:b/>
                <w:bCs/>
                <w:color w:val="000000"/>
                <w:sz w:val="20"/>
                <w:szCs w:val="20"/>
                <w:lang w:eastAsia="pl-PL"/>
              </w:rPr>
              <w:t>Ogólne</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kryteria</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kwalifikacji</w:t>
            </w:r>
          </w:p>
          <w:p w14:paraId="56CEB38B" w14:textId="256141B2" w:rsidR="009E7222" w:rsidRPr="0080193D" w:rsidRDefault="009E7222" w:rsidP="00C81D3A">
            <w:pPr>
              <w:pStyle w:val="Akapitzlist"/>
              <w:numPr>
                <w:ilvl w:val="3"/>
                <w:numId w:val="35"/>
              </w:numPr>
              <w:autoSpaceDE w:val="0"/>
              <w:autoSpaceDN w:val="0"/>
              <w:adjustRightInd w:val="0"/>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wiek 18 lat i powyżej;</w:t>
            </w:r>
          </w:p>
          <w:p w14:paraId="1F221D36" w14:textId="2BFAC734" w:rsidR="00AE555D" w:rsidRPr="0080193D" w:rsidRDefault="00AE555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stan sprawności według WHO: 0-2;</w:t>
            </w:r>
          </w:p>
          <w:p w14:paraId="4EB8D7FA" w14:textId="4838184A" w:rsidR="005E4D46" w:rsidRPr="0080193D" w:rsidRDefault="005E4D46"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rozpoznanie przewlekłej białaczki limfocytowej</w:t>
            </w:r>
            <w:r w:rsidR="00E20DDD" w:rsidRPr="0080193D">
              <w:rPr>
                <w:rFonts w:ascii="Times New Roman" w:hAnsi="Times New Roman" w:cs="Times New Roman"/>
                <w:sz w:val="20"/>
                <w:szCs w:val="20"/>
              </w:rPr>
              <w:t>;</w:t>
            </w:r>
          </w:p>
          <w:p w14:paraId="29D385BF" w14:textId="251D72E3" w:rsidR="0001368F" w:rsidRPr="0080193D" w:rsidRDefault="0001368F"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obecność wskazań do leczenia wg International Workshop on </w:t>
            </w:r>
            <w:proofErr w:type="spellStart"/>
            <w:r w:rsidRPr="0080193D">
              <w:rPr>
                <w:rFonts w:ascii="Times New Roman" w:eastAsia="Times New Roman" w:hAnsi="Times New Roman" w:cs="Times New Roman"/>
                <w:color w:val="000000"/>
                <w:sz w:val="20"/>
                <w:szCs w:val="20"/>
                <w:lang w:eastAsia="pl-PL"/>
              </w:rPr>
              <w:t>Chronic</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Lymphocytic</w:t>
            </w:r>
            <w:proofErr w:type="spellEnd"/>
            <w:r w:rsidRPr="0080193D">
              <w:rPr>
                <w:rFonts w:ascii="Times New Roman" w:eastAsia="Times New Roman" w:hAnsi="Times New Roman" w:cs="Times New Roman"/>
                <w:color w:val="000000"/>
                <w:sz w:val="20"/>
                <w:szCs w:val="20"/>
                <w:lang w:eastAsia="pl-PL"/>
              </w:rPr>
              <w:t xml:space="preserve"> Leukemia </w:t>
            </w:r>
            <w:proofErr w:type="spellStart"/>
            <w:r w:rsidRPr="0080193D">
              <w:rPr>
                <w:rFonts w:ascii="Times New Roman" w:eastAsia="Times New Roman" w:hAnsi="Times New Roman" w:cs="Times New Roman"/>
                <w:color w:val="000000"/>
                <w:sz w:val="20"/>
                <w:szCs w:val="20"/>
                <w:lang w:eastAsia="pl-PL"/>
              </w:rPr>
              <w:t>updating</w:t>
            </w:r>
            <w:proofErr w:type="spellEnd"/>
            <w:r w:rsidRPr="0080193D">
              <w:rPr>
                <w:rFonts w:ascii="Times New Roman" w:eastAsia="Times New Roman" w:hAnsi="Times New Roman" w:cs="Times New Roman"/>
                <w:color w:val="000000"/>
                <w:sz w:val="20"/>
                <w:szCs w:val="20"/>
                <w:lang w:eastAsia="pl-PL"/>
              </w:rPr>
              <w:t xml:space="preserve"> (the </w:t>
            </w:r>
            <w:proofErr w:type="spellStart"/>
            <w:r w:rsidRPr="0080193D">
              <w:rPr>
                <w:rFonts w:ascii="Times New Roman" w:eastAsia="Times New Roman" w:hAnsi="Times New Roman" w:cs="Times New Roman"/>
                <w:color w:val="000000"/>
                <w:sz w:val="20"/>
                <w:szCs w:val="20"/>
                <w:lang w:eastAsia="pl-PL"/>
              </w:rPr>
              <w:t>National</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Cancer</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Institute-Working</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Group</w:t>
            </w:r>
            <w:proofErr w:type="spellEnd"/>
            <w:r w:rsidRPr="0080193D">
              <w:rPr>
                <w:rFonts w:ascii="Times New Roman" w:eastAsia="Times New Roman" w:hAnsi="Times New Roman" w:cs="Times New Roman"/>
                <w:color w:val="000000"/>
                <w:sz w:val="20"/>
                <w:szCs w:val="20"/>
                <w:lang w:eastAsia="pl-PL"/>
              </w:rPr>
              <w:t xml:space="preserve"> (IWCLL);</w:t>
            </w:r>
          </w:p>
          <w:p w14:paraId="311B6B11" w14:textId="10E9076E" w:rsidR="001D15F3" w:rsidRPr="0080193D" w:rsidRDefault="001D15F3" w:rsidP="00C81D3A">
            <w:pPr>
              <w:pStyle w:val="Akapitzlist"/>
              <w:numPr>
                <w:ilvl w:val="3"/>
                <w:numId w:val="35"/>
              </w:numPr>
              <w:autoSpaceDE w:val="0"/>
              <w:autoSpaceDN w:val="0"/>
              <w:adjustRightInd w:val="0"/>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brak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przeciwwskazań</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stosowania</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leku</w:t>
            </w:r>
            <w:r w:rsidR="00025874" w:rsidRPr="0080193D">
              <w:rPr>
                <w:rFonts w:ascii="Times New Roman" w:hAnsi="Times New Roman" w:cs="Times New Roman"/>
                <w:sz w:val="20"/>
                <w:szCs w:val="20"/>
              </w:rPr>
              <w:t xml:space="preserve"> </w:t>
            </w:r>
            <w:r w:rsidR="00CE3CDE" w:rsidRPr="0080193D">
              <w:rPr>
                <w:rFonts w:ascii="Times New Roman" w:hAnsi="Times New Roman" w:cs="Times New Roman"/>
                <w:sz w:val="20"/>
                <w:szCs w:val="20"/>
              </w:rPr>
              <w:t>zgodnie</w:t>
            </w:r>
            <w:r w:rsidR="00025874" w:rsidRPr="0080193D">
              <w:rPr>
                <w:rFonts w:ascii="Times New Roman" w:hAnsi="Times New Roman" w:cs="Times New Roman"/>
                <w:sz w:val="20"/>
                <w:szCs w:val="20"/>
              </w:rPr>
              <w:t xml:space="preserve"> </w:t>
            </w:r>
            <w:r w:rsidR="00FC3716"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aktualną</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dzień</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wydania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decyzji</w:t>
            </w:r>
            <w:r w:rsidR="00025874" w:rsidRPr="0080193D">
              <w:rPr>
                <w:rFonts w:ascii="Times New Roman" w:hAnsi="Times New Roman" w:cs="Times New Roman"/>
                <w:sz w:val="20"/>
                <w:szCs w:val="20"/>
              </w:rPr>
              <w:t xml:space="preserve"> </w:t>
            </w:r>
            <w:r w:rsidR="00C273D5" w:rsidRPr="0080193D">
              <w:rPr>
                <w:rFonts w:ascii="Times New Roman" w:hAnsi="Times New Roman" w:cs="Times New Roman"/>
                <w:sz w:val="20"/>
                <w:szCs w:val="20"/>
              </w:rPr>
              <w:t>Ch</w:t>
            </w:r>
            <w:r w:rsidR="00A40D6A" w:rsidRPr="0080193D">
              <w:rPr>
                <w:rFonts w:ascii="Times New Roman" w:hAnsi="Times New Roman" w:cs="Times New Roman"/>
                <w:sz w:val="20"/>
                <w:szCs w:val="20"/>
              </w:rPr>
              <w:t>arak</w:t>
            </w:r>
            <w:r w:rsidR="00C22934" w:rsidRPr="0080193D">
              <w:rPr>
                <w:rFonts w:ascii="Times New Roman" w:hAnsi="Times New Roman" w:cs="Times New Roman"/>
                <w:sz w:val="20"/>
                <w:szCs w:val="20"/>
              </w:rPr>
              <w:t>terystyką</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Produktu</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Leczniczego</w:t>
            </w:r>
            <w:r w:rsidR="00A40D6A" w:rsidRPr="0080193D">
              <w:rPr>
                <w:rFonts w:ascii="Times New Roman" w:hAnsi="Times New Roman" w:cs="Times New Roman"/>
                <w:sz w:val="20"/>
                <w:szCs w:val="20"/>
              </w:rPr>
              <w:t>;</w:t>
            </w:r>
          </w:p>
          <w:p w14:paraId="05DA3445" w14:textId="6350DBF5" w:rsidR="00390885"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brak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nadwrażliwości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którykolwiek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lub</w:t>
            </w:r>
            <w:r w:rsidR="00C36819" w:rsidRPr="0080193D">
              <w:rPr>
                <w:rFonts w:ascii="Times New Roman" w:hAnsi="Times New Roman" w:cs="Times New Roman"/>
                <w:sz w:val="20"/>
                <w:szCs w:val="20"/>
              </w:rPr>
              <w:t xml:space="preserve"> białka mysie lub</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którąkolwiek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substancję</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pomocniczą</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leku</w:t>
            </w:r>
            <w:r w:rsidR="00A40D6A" w:rsidRPr="0080193D">
              <w:rPr>
                <w:rFonts w:ascii="Times New Roman" w:hAnsi="Times New Roman" w:cs="Times New Roman"/>
                <w:sz w:val="20"/>
                <w:szCs w:val="20"/>
              </w:rPr>
              <w:t>;</w:t>
            </w:r>
          </w:p>
          <w:p w14:paraId="5A70DF63" w14:textId="03EAB106" w:rsidR="001D15F3"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wykluczenie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ciąży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okresu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karmienia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piersią;</w:t>
            </w:r>
          </w:p>
          <w:p w14:paraId="2F0F0798" w14:textId="1BED981A" w:rsidR="008A1C09" w:rsidRPr="0080193D" w:rsidRDefault="008A1C09"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zgoda</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pacjenta</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na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stosowanie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skutecznych</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metod</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zapobiegania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ciąży</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w</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trakcie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terapii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oraz</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po</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zakończeniu</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leczenia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zgodnie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informacjami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zawartymi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w</w:t>
            </w:r>
            <w:r w:rsidR="00025874" w:rsidRPr="0080193D">
              <w:rPr>
                <w:rFonts w:ascii="Times New Roman" w:eastAsia="Times New Roman" w:hAnsi="Times New Roman" w:cs="Times New Roman"/>
                <w:sz w:val="20"/>
                <w:szCs w:val="20"/>
                <w:lang w:eastAsia="pl-PL"/>
              </w:rPr>
              <w:t xml:space="preserve"> </w:t>
            </w:r>
            <w:r w:rsidR="00011D88" w:rsidRPr="0080193D">
              <w:rPr>
                <w:rFonts w:ascii="Times New Roman" w:hAnsi="Times New Roman" w:cs="Times New Roman"/>
                <w:sz w:val="20"/>
                <w:szCs w:val="20"/>
              </w:rPr>
              <w:t>aktualnej</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dzień</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wydania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decyzji</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Charakterystyce</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Produktu</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Leczniczego</w:t>
            </w:r>
            <w:r w:rsidR="001D15F3" w:rsidRPr="0080193D">
              <w:rPr>
                <w:rFonts w:ascii="Times New Roman" w:eastAsia="Times New Roman" w:hAnsi="Times New Roman" w:cs="Times New Roman"/>
                <w:sz w:val="20"/>
                <w:szCs w:val="20"/>
                <w:lang w:eastAsia="pl-PL"/>
              </w:rPr>
              <w:t>;</w:t>
            </w:r>
          </w:p>
          <w:p w14:paraId="73699D32" w14:textId="5AD805F5" w:rsidR="008A1C09"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nieobecność</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aktywnych,</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ciężkich</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zakażeń;</w:t>
            </w:r>
          </w:p>
          <w:p w14:paraId="15C3253E" w14:textId="3E6C9756" w:rsidR="008A1C09" w:rsidRPr="0080193D" w:rsidRDefault="00481ACF"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t>nieobecność</w:t>
            </w:r>
            <w:r w:rsidR="00025874" w:rsidRPr="0080193D">
              <w:rPr>
                <w:rFonts w:ascii="Times New Roman" w:eastAsia="Times New Roman" w:hAnsi="Times New Roman" w:cs="Times New Roman"/>
                <w:color w:val="000000"/>
                <w:sz w:val="20"/>
                <w:szCs w:val="20"/>
                <w:lang w:eastAsia="pl-PL"/>
              </w:rPr>
              <w:t xml:space="preserve"> </w:t>
            </w:r>
            <w:r w:rsidR="004104AD" w:rsidRPr="0080193D">
              <w:rPr>
                <w:rFonts w:ascii="Times New Roman" w:eastAsia="Times New Roman" w:hAnsi="Times New Roman" w:cs="Times New Roman"/>
                <w:color w:val="000000"/>
                <w:sz w:val="20"/>
                <w:szCs w:val="20"/>
                <w:lang w:eastAsia="pl-PL"/>
              </w:rPr>
              <w:t>i</w:t>
            </w:r>
            <w:r w:rsidRPr="0080193D">
              <w:rPr>
                <w:rFonts w:ascii="Times New Roman" w:eastAsia="Times New Roman" w:hAnsi="Times New Roman" w:cs="Times New Roman"/>
                <w:color w:val="000000"/>
                <w:sz w:val="20"/>
                <w:szCs w:val="20"/>
                <w:lang w:eastAsia="pl-PL"/>
              </w:rPr>
              <w:t>stotnych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schorzeń</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współistniejących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stanowiących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przeciw</w:t>
            </w:r>
            <w:r w:rsidR="00B7400E" w:rsidRPr="0080193D">
              <w:rPr>
                <w:rFonts w:ascii="Times New Roman" w:eastAsia="Times New Roman" w:hAnsi="Times New Roman" w:cs="Times New Roman"/>
                <w:color w:val="000000"/>
                <w:sz w:val="20"/>
                <w:szCs w:val="20"/>
                <w:lang w:eastAsia="pl-PL"/>
              </w:rPr>
              <w:t>w</w:t>
            </w:r>
            <w:r w:rsidRPr="0080193D">
              <w:rPr>
                <w:rFonts w:ascii="Times New Roman" w:eastAsia="Times New Roman" w:hAnsi="Times New Roman" w:cs="Times New Roman"/>
                <w:color w:val="000000"/>
                <w:sz w:val="20"/>
                <w:szCs w:val="20"/>
                <w:lang w:eastAsia="pl-PL"/>
              </w:rPr>
              <w:t>skazanie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do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terapii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stwierdzonych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przez</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lekarza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prowadzącego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oparciu</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odpowiednie</w:t>
            </w:r>
            <w:r w:rsidR="00011D88" w:rsidRPr="0080193D">
              <w:rPr>
                <w:rFonts w:ascii="Times New Roman" w:eastAsia="Times New Roman" w:hAnsi="Times New Roman" w:cs="Times New Roman"/>
                <w:color w:val="000000"/>
                <w:sz w:val="20"/>
                <w:szCs w:val="20"/>
                <w:lang w:eastAsia="pl-PL"/>
              </w:rPr>
              <w:t>,</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aktualne</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na</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dzień</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wydania</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decyzji</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Charakterystyki</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Produkt</w:t>
            </w:r>
            <w:r w:rsidR="00011D88" w:rsidRPr="0080193D">
              <w:rPr>
                <w:rFonts w:ascii="Times New Roman" w:eastAsia="Times New Roman" w:hAnsi="Times New Roman" w:cs="Times New Roman"/>
                <w:color w:val="000000"/>
                <w:sz w:val="20"/>
                <w:szCs w:val="20"/>
                <w:lang w:eastAsia="pl-PL"/>
              </w:rPr>
              <w:t>u</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Lecznicz</w:t>
            </w:r>
            <w:r w:rsidR="00011D88" w:rsidRPr="0080193D">
              <w:rPr>
                <w:rFonts w:ascii="Times New Roman" w:eastAsia="Times New Roman" w:hAnsi="Times New Roman" w:cs="Times New Roman"/>
                <w:color w:val="000000"/>
                <w:sz w:val="20"/>
                <w:szCs w:val="20"/>
                <w:lang w:eastAsia="pl-PL"/>
              </w:rPr>
              <w:t>ego</w:t>
            </w:r>
            <w:r w:rsidR="000554E0" w:rsidRPr="0080193D">
              <w:rPr>
                <w:rFonts w:ascii="Times New Roman" w:eastAsia="Times New Roman" w:hAnsi="Times New Roman" w:cs="Times New Roman"/>
                <w:color w:val="000000"/>
                <w:sz w:val="20"/>
                <w:szCs w:val="20"/>
                <w:lang w:eastAsia="pl-PL"/>
              </w:rPr>
              <w:t>;</w:t>
            </w:r>
          </w:p>
          <w:p w14:paraId="62306DBA" w14:textId="2341A1B7" w:rsidR="00C4195F" w:rsidRPr="0080193D" w:rsidRDefault="00481ACF"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lastRenderedPageBreak/>
              <w:t>adekwatna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wydolność</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narządowa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określona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podstawie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wyników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badań</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laboratoryjnych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krwi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umożliwiająca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opinii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lekarza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prowadzącego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bezpieczne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rozpoczęcie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terapii</w:t>
            </w:r>
            <w:r w:rsidR="004B7F56" w:rsidRPr="0080193D">
              <w:rPr>
                <w:rFonts w:ascii="Times New Roman" w:eastAsia="Times New Roman" w:hAnsi="Times New Roman" w:cs="Times New Roman"/>
                <w:color w:val="000000"/>
                <w:sz w:val="20"/>
                <w:szCs w:val="20"/>
                <w:lang w:eastAsia="pl-PL"/>
              </w:rPr>
              <w:t>.</w:t>
            </w:r>
          </w:p>
          <w:p w14:paraId="27E5B11D" w14:textId="77777777" w:rsidR="00C4195F" w:rsidRPr="0080193D" w:rsidRDefault="00C4195F" w:rsidP="0080193D">
            <w:pPr>
              <w:pStyle w:val="Akapitzlist"/>
              <w:ind w:left="454"/>
              <w:contextualSpacing w:val="0"/>
              <w:rPr>
                <w:rFonts w:ascii="Times New Roman" w:hAnsi="Times New Roman" w:cs="Times New Roman"/>
                <w:sz w:val="20"/>
                <w:szCs w:val="20"/>
              </w:rPr>
            </w:pPr>
          </w:p>
          <w:p w14:paraId="5A6AA83F" w14:textId="77777777" w:rsidR="00671D12" w:rsidRPr="0080193D" w:rsidRDefault="00890119" w:rsidP="00C81D3A">
            <w:pPr>
              <w:pStyle w:val="Akapitzlist"/>
              <w:numPr>
                <w:ilvl w:val="1"/>
                <w:numId w:val="35"/>
              </w:numPr>
              <w:contextualSpacing w:val="0"/>
              <w:rPr>
                <w:rFonts w:ascii="Times New Roman" w:hAnsi="Times New Roman" w:cs="Times New Roman"/>
                <w:sz w:val="20"/>
                <w:szCs w:val="20"/>
              </w:rPr>
            </w:pPr>
            <w:r w:rsidRPr="0080193D">
              <w:rPr>
                <w:rFonts w:ascii="Times New Roman" w:eastAsia="Times New Roman" w:hAnsi="Times New Roman" w:cs="Times New Roman"/>
                <w:b/>
                <w:bCs/>
                <w:color w:val="000000"/>
                <w:sz w:val="20"/>
                <w:szCs w:val="20"/>
                <w:lang w:eastAsia="pl-PL"/>
              </w:rPr>
              <w:t>Szczegółowe</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kryteria</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kwalifikacji</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do</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terapii</w:t>
            </w:r>
            <w:r w:rsidR="0041228D" w:rsidRPr="0080193D">
              <w:rPr>
                <w:rFonts w:ascii="Times New Roman" w:eastAsia="Times New Roman" w:hAnsi="Times New Roman" w:cs="Times New Roman"/>
                <w:b/>
                <w:bCs/>
                <w:color w:val="000000"/>
                <w:sz w:val="20"/>
                <w:szCs w:val="20"/>
                <w:lang w:eastAsia="pl-PL"/>
              </w:rPr>
              <w:t xml:space="preserve"> w I linii leczenia</w:t>
            </w:r>
          </w:p>
          <w:p w14:paraId="16CCF2D7" w14:textId="67971A53" w:rsidR="00EF32EB" w:rsidRPr="0080193D" w:rsidRDefault="000554E0" w:rsidP="00C81D3A">
            <w:pPr>
              <w:pStyle w:val="Akapitzlist"/>
              <w:numPr>
                <w:ilvl w:val="2"/>
                <w:numId w:val="35"/>
              </w:numPr>
              <w:contextualSpacing w:val="0"/>
              <w:rPr>
                <w:rFonts w:ascii="Times New Roman" w:hAnsi="Times New Roman" w:cs="Times New Roman"/>
                <w:sz w:val="20"/>
                <w:szCs w:val="20"/>
              </w:rPr>
            </w:pPr>
            <w:proofErr w:type="spellStart"/>
            <w:r w:rsidRPr="0080193D">
              <w:rPr>
                <w:rFonts w:ascii="Times New Roman" w:eastAsia="Times New Roman" w:hAnsi="Times New Roman" w:cs="Times New Roman"/>
                <w:b/>
                <w:bCs/>
                <w:i/>
                <w:iCs/>
                <w:color w:val="000000"/>
                <w:sz w:val="20"/>
                <w:szCs w:val="20"/>
                <w:lang w:eastAsia="pl-PL"/>
              </w:rPr>
              <w:t>ibrutynib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r w:rsidR="00EF32EB" w:rsidRPr="0080193D">
              <w:rPr>
                <w:rFonts w:ascii="Times New Roman" w:eastAsia="Times New Roman" w:hAnsi="Times New Roman" w:cs="Times New Roman"/>
                <w:b/>
                <w:bCs/>
                <w:i/>
                <w:iCs/>
                <w:color w:val="000000"/>
                <w:sz w:val="20"/>
                <w:szCs w:val="20"/>
                <w:lang w:eastAsia="pl-PL"/>
              </w:rPr>
              <w:t xml:space="preserve"> </w:t>
            </w:r>
          </w:p>
          <w:p w14:paraId="7DB13E31" w14:textId="1295B1C6" w:rsidR="0039744B" w:rsidRPr="0080193D" w:rsidRDefault="0039744B"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sz w:val="20"/>
                <w:szCs w:val="20"/>
                <w:lang w:bidi="en-US"/>
              </w:rPr>
              <w:t xml:space="preserve">brak wcześniejszego leczenia </w:t>
            </w:r>
            <w:r w:rsidRPr="0080193D">
              <w:rPr>
                <w:rFonts w:ascii="Times New Roman" w:hAnsi="Times New Roman" w:cs="Times New Roman"/>
                <w:sz w:val="20"/>
                <w:szCs w:val="20"/>
              </w:rPr>
              <w:t>przewlekłej białaczki limfocytowej;</w:t>
            </w:r>
          </w:p>
          <w:p w14:paraId="18CF7AA2" w14:textId="0E1188F7" w:rsidR="00E9387D" w:rsidRPr="0080193D" w:rsidRDefault="00ED3875"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obecność</w:t>
            </w:r>
            <w:r w:rsidR="00025874" w:rsidRPr="0080193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delecji 17p (del17p)</w:t>
            </w:r>
            <w:r w:rsidR="007E08A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 xml:space="preserve">mutacji w genie </w:t>
            </w:r>
            <w:r w:rsidR="0039744B" w:rsidRPr="0080193D">
              <w:rPr>
                <w:rFonts w:ascii="Times New Roman" w:eastAsia="Times New Roman" w:hAnsi="Times New Roman" w:cs="Times New Roman"/>
                <w:i/>
                <w:iCs/>
                <w:color w:val="000000"/>
                <w:sz w:val="20"/>
                <w:szCs w:val="20"/>
                <w:lang w:eastAsia="pl-PL"/>
              </w:rPr>
              <w:t>TP53</w:t>
            </w:r>
            <w:r w:rsidR="0039744B" w:rsidRPr="0080193D">
              <w:rPr>
                <w:rFonts w:ascii="Times New Roman" w:eastAsia="Times New Roman" w:hAnsi="Times New Roman" w:cs="Times New Roman"/>
                <w:color w:val="000000"/>
                <w:sz w:val="20"/>
                <w:szCs w:val="20"/>
                <w:lang w:eastAsia="pl-PL"/>
              </w:rPr>
              <w:t xml:space="preserve"> (mut</w:t>
            </w:r>
            <w:r w:rsidR="0039744B" w:rsidRPr="0080193D">
              <w:rPr>
                <w:rFonts w:ascii="Times New Roman" w:eastAsia="Times New Roman" w:hAnsi="Times New Roman" w:cs="Times New Roman"/>
                <w:i/>
                <w:iCs/>
                <w:color w:val="000000"/>
                <w:sz w:val="20"/>
                <w:szCs w:val="20"/>
                <w:lang w:eastAsia="pl-PL"/>
              </w:rPr>
              <w:t>TP53</w:t>
            </w:r>
            <w:r w:rsidR="0039744B" w:rsidRPr="0080193D">
              <w:rPr>
                <w:rFonts w:ascii="Times New Roman" w:eastAsia="Times New Roman" w:hAnsi="Times New Roman" w:cs="Times New Roman"/>
                <w:color w:val="000000"/>
                <w:sz w:val="20"/>
                <w:szCs w:val="20"/>
                <w:lang w:eastAsia="pl-PL"/>
              </w:rPr>
              <w:t xml:space="preserve">) lub niezmutowanego statusu </w:t>
            </w:r>
            <w:proofErr w:type="spellStart"/>
            <w:r w:rsidR="0039744B" w:rsidRPr="0080193D">
              <w:rPr>
                <w:rFonts w:ascii="Times New Roman" w:eastAsia="Times New Roman" w:hAnsi="Times New Roman" w:cs="Times New Roman"/>
                <w:i/>
                <w:iCs/>
                <w:color w:val="000000"/>
                <w:sz w:val="20"/>
                <w:szCs w:val="20"/>
                <w:lang w:eastAsia="pl-PL"/>
              </w:rPr>
              <w:t>IgHV</w:t>
            </w:r>
            <w:proofErr w:type="spellEnd"/>
            <w:r w:rsidR="00B52646">
              <w:rPr>
                <w:rFonts w:ascii="Times New Roman" w:eastAsia="Times New Roman" w:hAnsi="Times New Roman" w:cs="Times New Roman"/>
                <w:color w:val="000000"/>
                <w:sz w:val="20"/>
                <w:szCs w:val="20"/>
                <w:lang w:eastAsia="pl-PL"/>
              </w:rPr>
              <w:t>.</w:t>
            </w:r>
          </w:p>
          <w:p w14:paraId="49C46F69" w14:textId="77777777" w:rsidR="00671D12" w:rsidRPr="00B52646" w:rsidRDefault="00671D12" w:rsidP="0080193D">
            <w:pPr>
              <w:rPr>
                <w:rFonts w:ascii="Times New Roman" w:eastAsia="Times New Roman" w:hAnsi="Times New Roman" w:cs="Times New Roman"/>
                <w:b/>
                <w:bCs/>
                <w:color w:val="000000"/>
                <w:sz w:val="20"/>
                <w:szCs w:val="20"/>
                <w:lang w:eastAsia="pl-PL"/>
              </w:rPr>
            </w:pPr>
          </w:p>
          <w:p w14:paraId="0302C5BC" w14:textId="030457CA" w:rsidR="0041228D" w:rsidRPr="0080193D" w:rsidRDefault="00192642"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akalabrutynib</w:t>
            </w:r>
            <w:proofErr w:type="spellEnd"/>
            <w:r w:rsidR="0041228D" w:rsidRPr="0080193D">
              <w:rPr>
                <w:rFonts w:ascii="Times New Roman" w:eastAsia="Times New Roman" w:hAnsi="Times New Roman" w:cs="Times New Roman"/>
                <w:b/>
                <w:bCs/>
                <w:i/>
                <w:iCs/>
                <w:color w:val="000000"/>
                <w:sz w:val="20"/>
                <w:szCs w:val="20"/>
                <w:lang w:eastAsia="pl-PL"/>
              </w:rPr>
              <w:t xml:space="preserve"> w </w:t>
            </w:r>
            <w:proofErr w:type="spellStart"/>
            <w:r w:rsidR="0041228D" w:rsidRPr="0080193D">
              <w:rPr>
                <w:rFonts w:ascii="Times New Roman" w:eastAsia="Times New Roman" w:hAnsi="Times New Roman" w:cs="Times New Roman"/>
                <w:b/>
                <w:bCs/>
                <w:i/>
                <w:iCs/>
                <w:color w:val="000000"/>
                <w:sz w:val="20"/>
                <w:szCs w:val="20"/>
                <w:lang w:eastAsia="pl-PL"/>
              </w:rPr>
              <w:t>monoterapii</w:t>
            </w:r>
            <w:proofErr w:type="spellEnd"/>
            <w:r w:rsidR="0041228D" w:rsidRPr="0080193D">
              <w:rPr>
                <w:rFonts w:ascii="Times New Roman" w:eastAsia="Times New Roman" w:hAnsi="Times New Roman" w:cs="Times New Roman"/>
                <w:b/>
                <w:bCs/>
                <w:i/>
                <w:iCs/>
                <w:color w:val="000000"/>
                <w:sz w:val="20"/>
                <w:szCs w:val="20"/>
                <w:lang w:eastAsia="pl-PL"/>
              </w:rPr>
              <w:t xml:space="preserve"> </w:t>
            </w:r>
          </w:p>
          <w:p w14:paraId="1D7D4E3A" w14:textId="77777777" w:rsidR="0041228D" w:rsidRPr="0080193D" w:rsidRDefault="0041228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sz w:val="20"/>
                <w:szCs w:val="20"/>
                <w:lang w:bidi="en-US"/>
              </w:rPr>
              <w:t xml:space="preserve">brak wcześniejszego leczenia </w:t>
            </w:r>
            <w:r w:rsidRPr="0080193D">
              <w:rPr>
                <w:rFonts w:ascii="Times New Roman" w:hAnsi="Times New Roman" w:cs="Times New Roman"/>
                <w:sz w:val="20"/>
                <w:szCs w:val="20"/>
              </w:rPr>
              <w:t>przewlekłej białaczki limfocytowej;</w:t>
            </w:r>
          </w:p>
          <w:p w14:paraId="2A228AC9" w14:textId="404DDEB7" w:rsidR="005E6DE1" w:rsidRPr="0080193D" w:rsidRDefault="0041228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lub niezmutowanego statusu </w:t>
            </w:r>
            <w:proofErr w:type="spellStart"/>
            <w:r w:rsidRPr="0080193D">
              <w:rPr>
                <w:rFonts w:ascii="Times New Roman" w:eastAsia="Times New Roman" w:hAnsi="Times New Roman" w:cs="Times New Roman"/>
                <w:i/>
                <w:iCs/>
                <w:color w:val="000000"/>
                <w:sz w:val="20"/>
                <w:szCs w:val="20"/>
                <w:lang w:eastAsia="pl-PL"/>
              </w:rPr>
              <w:t>IgHV</w:t>
            </w:r>
            <w:proofErr w:type="spellEnd"/>
            <w:r w:rsidR="0001368F" w:rsidRPr="0080193D">
              <w:rPr>
                <w:rFonts w:ascii="Times New Roman" w:eastAsia="Times New Roman" w:hAnsi="Times New Roman" w:cs="Times New Roman"/>
                <w:color w:val="000000"/>
                <w:sz w:val="20"/>
                <w:szCs w:val="20"/>
                <w:lang w:eastAsia="pl-PL"/>
              </w:rPr>
              <w:t>.</w:t>
            </w:r>
          </w:p>
          <w:p w14:paraId="38D5416D" w14:textId="77777777" w:rsidR="005E6DE1" w:rsidRPr="0080193D" w:rsidRDefault="005E6DE1" w:rsidP="0080193D">
            <w:pPr>
              <w:rPr>
                <w:rFonts w:ascii="Times New Roman" w:eastAsia="Times New Roman" w:hAnsi="Times New Roman" w:cs="Times New Roman"/>
                <w:b/>
                <w:bCs/>
                <w:i/>
                <w:iCs/>
                <w:sz w:val="20"/>
                <w:szCs w:val="20"/>
                <w:lang w:eastAsia="pl-PL"/>
              </w:rPr>
            </w:pPr>
          </w:p>
          <w:p w14:paraId="33603E74" w14:textId="5368D12F" w:rsidR="00546572" w:rsidRPr="0080193D" w:rsidRDefault="00AC5E91"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sz w:val="20"/>
                <w:szCs w:val="20"/>
                <w:lang w:eastAsia="pl-PL"/>
              </w:rPr>
              <w:t>obinutuzumab</w:t>
            </w:r>
            <w:proofErr w:type="spellEnd"/>
            <w:r w:rsidRPr="0080193D">
              <w:rPr>
                <w:rFonts w:ascii="Times New Roman" w:eastAsia="Times New Roman" w:hAnsi="Times New Roman" w:cs="Times New Roman"/>
                <w:b/>
                <w:bCs/>
                <w:i/>
                <w:iCs/>
                <w:sz w:val="20"/>
                <w:szCs w:val="20"/>
                <w:lang w:eastAsia="pl-PL"/>
              </w:rPr>
              <w:t xml:space="preserve"> w skojarzeniu z </w:t>
            </w:r>
            <w:proofErr w:type="spellStart"/>
            <w:r w:rsidRPr="0080193D">
              <w:rPr>
                <w:rFonts w:ascii="Times New Roman" w:eastAsia="Times New Roman" w:hAnsi="Times New Roman" w:cs="Times New Roman"/>
                <w:b/>
                <w:bCs/>
                <w:i/>
                <w:iCs/>
                <w:sz w:val="20"/>
                <w:szCs w:val="20"/>
                <w:lang w:eastAsia="pl-PL"/>
              </w:rPr>
              <w:t>chlorambucylem</w:t>
            </w:r>
            <w:proofErr w:type="spellEnd"/>
          </w:p>
          <w:p w14:paraId="4862DDF0" w14:textId="2A87D22E" w:rsidR="0041288D" w:rsidRPr="0080193D" w:rsidRDefault="0041288D" w:rsidP="00C81D3A">
            <w:pPr>
              <w:pStyle w:val="Akapitzlist"/>
              <w:numPr>
                <w:ilvl w:val="3"/>
                <w:numId w:val="35"/>
              </w:numPr>
              <w:contextualSpacing w:val="0"/>
              <w:rPr>
                <w:rFonts w:ascii="Times New Roman" w:eastAsia="Times New Roman" w:hAnsi="Times New Roman" w:cs="Times New Roman"/>
                <w:sz w:val="20"/>
                <w:szCs w:val="20"/>
                <w:lang w:bidi="en-US"/>
              </w:rPr>
            </w:pPr>
            <w:r w:rsidRPr="0080193D">
              <w:rPr>
                <w:rFonts w:ascii="Times New Roman" w:eastAsia="Times New Roman" w:hAnsi="Times New Roman" w:cs="Times New Roman"/>
                <w:sz w:val="20"/>
                <w:szCs w:val="20"/>
                <w:lang w:bidi="en-US"/>
              </w:rPr>
              <w:t>brak</w:t>
            </w:r>
            <w:r w:rsidR="00025874" w:rsidRPr="0080193D">
              <w:rPr>
                <w:rFonts w:ascii="Times New Roman" w:eastAsia="Times New Roman" w:hAnsi="Times New Roman" w:cs="Times New Roman"/>
                <w:sz w:val="20"/>
                <w:szCs w:val="20"/>
                <w:lang w:bidi="en-US"/>
              </w:rPr>
              <w:t xml:space="preserve"> </w:t>
            </w:r>
            <w:r w:rsidRPr="0080193D">
              <w:rPr>
                <w:rFonts w:ascii="Times New Roman" w:eastAsia="Times New Roman" w:hAnsi="Times New Roman" w:cs="Times New Roman"/>
                <w:sz w:val="20"/>
                <w:szCs w:val="20"/>
                <w:lang w:bidi="en-US"/>
              </w:rPr>
              <w:t>wcześniejszego</w:t>
            </w:r>
            <w:r w:rsidR="00025874" w:rsidRPr="0080193D">
              <w:rPr>
                <w:rFonts w:ascii="Times New Roman" w:eastAsia="Times New Roman" w:hAnsi="Times New Roman" w:cs="Times New Roman"/>
                <w:sz w:val="20"/>
                <w:szCs w:val="20"/>
                <w:lang w:bidi="en-US"/>
              </w:rPr>
              <w:t xml:space="preserve"> </w:t>
            </w:r>
            <w:r w:rsidRPr="0080193D">
              <w:rPr>
                <w:rFonts w:ascii="Times New Roman" w:eastAsia="Times New Roman" w:hAnsi="Times New Roman" w:cs="Times New Roman"/>
                <w:sz w:val="20"/>
                <w:szCs w:val="20"/>
                <w:lang w:bidi="en-US"/>
              </w:rPr>
              <w:t>leczenia</w:t>
            </w:r>
            <w:r w:rsidR="00025874" w:rsidRPr="0080193D">
              <w:rPr>
                <w:rFonts w:ascii="Times New Roman" w:eastAsia="Times New Roman" w:hAnsi="Times New Roman" w:cs="Times New Roman"/>
                <w:sz w:val="20"/>
                <w:szCs w:val="20"/>
                <w:lang w:bidi="en-US"/>
              </w:rPr>
              <w:t xml:space="preserve"> </w:t>
            </w:r>
            <w:r w:rsidR="00A42E8F" w:rsidRPr="0080193D">
              <w:rPr>
                <w:rFonts w:ascii="Times New Roman" w:hAnsi="Times New Roman" w:cs="Times New Roman"/>
                <w:sz w:val="20"/>
                <w:szCs w:val="20"/>
              </w:rPr>
              <w:t>przewlekłej białaczki limfocytowej</w:t>
            </w:r>
            <w:r w:rsidR="00C50242" w:rsidRPr="0080193D">
              <w:rPr>
                <w:rFonts w:ascii="Times New Roman" w:hAnsi="Times New Roman" w:cs="Times New Roman"/>
                <w:sz w:val="20"/>
                <w:szCs w:val="20"/>
              </w:rPr>
              <w:t xml:space="preserve"> CD20+</w:t>
            </w:r>
            <w:r w:rsidR="00A42E8F" w:rsidRPr="0080193D">
              <w:rPr>
                <w:rFonts w:ascii="Times New Roman" w:hAnsi="Times New Roman" w:cs="Times New Roman"/>
                <w:sz w:val="20"/>
                <w:szCs w:val="20"/>
              </w:rPr>
              <w:t>;</w:t>
            </w:r>
          </w:p>
          <w:p w14:paraId="4C7D113C" w14:textId="77777777" w:rsidR="00D056DE"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wyniki parametrów: </w:t>
            </w:r>
          </w:p>
          <w:p w14:paraId="55FA96ED" w14:textId="77777777" w:rsidR="00C81D3A" w:rsidRDefault="00D056DE"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color w:val="000000"/>
                <w:sz w:val="20"/>
                <w:szCs w:val="20"/>
                <w:lang w:eastAsia="pl-PL"/>
              </w:rPr>
              <w:t>CrCl</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klirens</w:t>
            </w:r>
            <w:proofErr w:type="spellEnd"/>
            <w:r w:rsidRPr="0080193D">
              <w:rPr>
                <w:rFonts w:ascii="Times New Roman" w:eastAsia="Times New Roman" w:hAnsi="Times New Roman" w:cs="Times New Roman"/>
                <w:color w:val="000000"/>
                <w:sz w:val="20"/>
                <w:szCs w:val="20"/>
                <w:lang w:eastAsia="pl-PL"/>
              </w:rPr>
              <w:t xml:space="preserve"> kreatyniny): &gt; 30ml/min oraz &lt; 70 ml/min</w:t>
            </w:r>
          </w:p>
          <w:p w14:paraId="750B0588" w14:textId="6A0ED47C" w:rsidR="00D056DE" w:rsidRPr="0080193D" w:rsidRDefault="00D056DE" w:rsidP="00C81D3A">
            <w:pPr>
              <w:pStyle w:val="Akapitzlist"/>
              <w:ind w:left="454"/>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lub</w:t>
            </w:r>
          </w:p>
          <w:p w14:paraId="5F28DB19" w14:textId="05F351F2" w:rsidR="005049B9" w:rsidRPr="0080193D" w:rsidRDefault="00D056DE"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liczba punktów wg skali CIRS &gt; 6</w:t>
            </w:r>
            <w:r w:rsidR="00C81D3A">
              <w:rPr>
                <w:rFonts w:ascii="Times New Roman" w:eastAsia="Times New Roman" w:hAnsi="Times New Roman" w:cs="Times New Roman"/>
                <w:color w:val="000000"/>
                <w:sz w:val="20"/>
                <w:szCs w:val="20"/>
                <w:lang w:eastAsia="pl-PL"/>
              </w:rPr>
              <w:t>;</w:t>
            </w:r>
          </w:p>
          <w:p w14:paraId="3F2AA192" w14:textId="461A8756" w:rsidR="001F691A"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ujemny wynik badań na obecność HBsAg i HBcAb, a w przypadku dodatniego wyniku HBsAg lub HBcAb przed rozpoczęciem leczenia konieczna konsultacja przez lekarza hepatologa lub lekarza chorób zakaźnych;</w:t>
            </w:r>
          </w:p>
          <w:p w14:paraId="4AD5CA4D" w14:textId="77777777" w:rsidR="005E6DE1"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przeciwwskazania (z powodu chorób współistniejących) do leczenia opartego na pełnej dawce </w:t>
            </w:r>
            <w:proofErr w:type="spellStart"/>
            <w:r w:rsidRPr="0080193D">
              <w:rPr>
                <w:rFonts w:ascii="Times New Roman" w:eastAsia="Times New Roman" w:hAnsi="Times New Roman" w:cs="Times New Roman"/>
                <w:color w:val="000000"/>
                <w:sz w:val="20"/>
                <w:szCs w:val="20"/>
                <w:lang w:eastAsia="pl-PL"/>
              </w:rPr>
              <w:t>fludarabiny</w:t>
            </w:r>
            <w:proofErr w:type="spellEnd"/>
            <w:r w:rsidR="005500F7" w:rsidRPr="0080193D">
              <w:rPr>
                <w:rFonts w:ascii="Times New Roman" w:eastAsia="Times New Roman" w:hAnsi="Times New Roman" w:cs="Times New Roman"/>
                <w:color w:val="000000"/>
                <w:sz w:val="20"/>
                <w:szCs w:val="20"/>
                <w:lang w:eastAsia="pl-PL"/>
              </w:rPr>
              <w:t>.</w:t>
            </w:r>
          </w:p>
          <w:p w14:paraId="1FBFEF7E" w14:textId="77777777" w:rsidR="005E6DE1" w:rsidRPr="0080193D" w:rsidRDefault="005E6DE1" w:rsidP="0080193D">
            <w:pPr>
              <w:rPr>
                <w:rFonts w:ascii="Times New Roman" w:eastAsia="Times New Roman" w:hAnsi="Times New Roman" w:cs="Times New Roman"/>
                <w:b/>
                <w:bCs/>
                <w:i/>
                <w:iCs/>
                <w:color w:val="000000"/>
                <w:sz w:val="20"/>
                <w:szCs w:val="20"/>
                <w:lang w:eastAsia="pl-PL"/>
              </w:rPr>
            </w:pPr>
          </w:p>
          <w:p w14:paraId="63C9F181" w14:textId="37A38419" w:rsidR="002C3BC0" w:rsidRPr="0080193D" w:rsidRDefault="002C3BC0"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wenetoklaks</w:t>
            </w:r>
            <w:proofErr w:type="spellEnd"/>
            <w:r w:rsidRPr="0080193D">
              <w:rPr>
                <w:rFonts w:ascii="Times New Roman" w:eastAsia="Times New Roman" w:hAnsi="Times New Roman" w:cs="Times New Roman"/>
                <w:b/>
                <w:bCs/>
                <w:i/>
                <w:iCs/>
                <w:color w:val="000000"/>
                <w:sz w:val="20"/>
                <w:szCs w:val="20"/>
                <w:lang w:eastAsia="pl-PL"/>
              </w:rPr>
              <w:t xml:space="preserve"> w skojarzeniu z </w:t>
            </w:r>
            <w:proofErr w:type="spellStart"/>
            <w:r w:rsidRPr="0080193D">
              <w:rPr>
                <w:rFonts w:ascii="Times New Roman" w:eastAsia="Times New Roman" w:hAnsi="Times New Roman" w:cs="Times New Roman"/>
                <w:b/>
                <w:bCs/>
                <w:i/>
                <w:iCs/>
                <w:color w:val="000000"/>
                <w:sz w:val="20"/>
                <w:szCs w:val="20"/>
                <w:lang w:eastAsia="pl-PL"/>
              </w:rPr>
              <w:t>obinutuzumabem</w:t>
            </w:r>
            <w:proofErr w:type="spellEnd"/>
            <w:r w:rsidRPr="0080193D">
              <w:rPr>
                <w:rFonts w:ascii="Times New Roman" w:eastAsia="Times New Roman" w:hAnsi="Times New Roman" w:cs="Times New Roman"/>
                <w:b/>
                <w:bCs/>
                <w:i/>
                <w:iCs/>
                <w:color w:val="000000"/>
                <w:sz w:val="20"/>
                <w:szCs w:val="20"/>
                <w:lang w:eastAsia="pl-PL"/>
              </w:rPr>
              <w:t xml:space="preserve"> </w:t>
            </w:r>
          </w:p>
          <w:p w14:paraId="0EA818DE" w14:textId="7410258B" w:rsidR="002C3BC0" w:rsidRPr="0080193D" w:rsidRDefault="002C3BC0" w:rsidP="00C81D3A">
            <w:pPr>
              <w:pStyle w:val="Akapitzlist"/>
              <w:numPr>
                <w:ilvl w:val="3"/>
                <w:numId w:val="35"/>
              </w:numPr>
              <w:contextualSpacing w:val="0"/>
              <w:rPr>
                <w:rFonts w:ascii="Times New Roman" w:eastAsia="Times New Roman" w:hAnsi="Times New Roman" w:cs="Times New Roman"/>
                <w:sz w:val="20"/>
                <w:szCs w:val="20"/>
                <w:lang w:bidi="en-US"/>
              </w:rPr>
            </w:pPr>
            <w:r w:rsidRPr="0080193D">
              <w:rPr>
                <w:rFonts w:ascii="Times New Roman" w:eastAsia="Times New Roman" w:hAnsi="Times New Roman" w:cs="Times New Roman"/>
                <w:sz w:val="20"/>
                <w:szCs w:val="20"/>
                <w:lang w:bidi="en-US"/>
              </w:rPr>
              <w:lastRenderedPageBreak/>
              <w:t xml:space="preserve">brak wcześniejszego leczenia </w:t>
            </w:r>
            <w:r w:rsidRPr="0080193D">
              <w:rPr>
                <w:rFonts w:ascii="Times New Roman" w:hAnsi="Times New Roman" w:cs="Times New Roman"/>
                <w:sz w:val="20"/>
                <w:szCs w:val="20"/>
              </w:rPr>
              <w:t>przewlekłej białaczki limfocytowej</w:t>
            </w:r>
            <w:r w:rsidR="00C50242" w:rsidRPr="0080193D">
              <w:rPr>
                <w:rFonts w:ascii="Times New Roman" w:hAnsi="Times New Roman" w:cs="Times New Roman"/>
                <w:sz w:val="20"/>
                <w:szCs w:val="20"/>
              </w:rPr>
              <w:t xml:space="preserve"> CD20+</w:t>
            </w:r>
            <w:r w:rsidRPr="0080193D">
              <w:rPr>
                <w:rFonts w:ascii="Times New Roman" w:hAnsi="Times New Roman" w:cs="Times New Roman"/>
                <w:sz w:val="20"/>
                <w:szCs w:val="20"/>
              </w:rPr>
              <w:t>;</w:t>
            </w:r>
          </w:p>
          <w:p w14:paraId="5294FE4B" w14:textId="77777777" w:rsidR="002C3BC0" w:rsidRPr="0080193D" w:rsidRDefault="002C3BC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wyniki parametrów: </w:t>
            </w:r>
          </w:p>
          <w:p w14:paraId="201A1783" w14:textId="77777777" w:rsidR="00C81D3A" w:rsidRDefault="002C3BC0"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color w:val="000000"/>
                <w:sz w:val="20"/>
                <w:szCs w:val="20"/>
                <w:lang w:eastAsia="pl-PL"/>
              </w:rPr>
              <w:t>CrCl</w:t>
            </w:r>
            <w:proofErr w:type="spellEnd"/>
            <w:r w:rsidRPr="0080193D">
              <w:rPr>
                <w:rFonts w:ascii="Times New Roman" w:eastAsia="Times New Roman" w:hAnsi="Times New Roman" w:cs="Times New Roman"/>
                <w:color w:val="000000"/>
                <w:sz w:val="20"/>
                <w:szCs w:val="20"/>
                <w:lang w:eastAsia="pl-PL"/>
              </w:rPr>
              <w:t xml:space="preserve"> (</w:t>
            </w:r>
            <w:proofErr w:type="spellStart"/>
            <w:r w:rsidRPr="0080193D">
              <w:rPr>
                <w:rFonts w:ascii="Times New Roman" w:eastAsia="Times New Roman" w:hAnsi="Times New Roman" w:cs="Times New Roman"/>
                <w:color w:val="000000"/>
                <w:sz w:val="20"/>
                <w:szCs w:val="20"/>
                <w:lang w:eastAsia="pl-PL"/>
              </w:rPr>
              <w:t>klirens</w:t>
            </w:r>
            <w:proofErr w:type="spellEnd"/>
            <w:r w:rsidRPr="0080193D">
              <w:rPr>
                <w:rFonts w:ascii="Times New Roman" w:eastAsia="Times New Roman" w:hAnsi="Times New Roman" w:cs="Times New Roman"/>
                <w:color w:val="000000"/>
                <w:sz w:val="20"/>
                <w:szCs w:val="20"/>
                <w:lang w:eastAsia="pl-PL"/>
              </w:rPr>
              <w:t xml:space="preserve"> kreatyniny): &gt; 30ml/min oraz &lt; 70 ml/min</w:t>
            </w:r>
          </w:p>
          <w:p w14:paraId="38EC7151" w14:textId="354E8391" w:rsidR="002C3BC0" w:rsidRPr="0080193D" w:rsidRDefault="002C3BC0" w:rsidP="00C81D3A">
            <w:pPr>
              <w:pStyle w:val="Akapitzlist"/>
              <w:ind w:left="454"/>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lub</w:t>
            </w:r>
          </w:p>
          <w:p w14:paraId="61C403BF" w14:textId="648CBAB5" w:rsidR="002C3BC0" w:rsidRPr="0080193D" w:rsidRDefault="002C3BC0"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liczba punktów wg skali CIRS &gt; 6</w:t>
            </w:r>
            <w:r w:rsidR="00C81D3A">
              <w:rPr>
                <w:rFonts w:ascii="Times New Roman" w:eastAsia="Times New Roman" w:hAnsi="Times New Roman" w:cs="Times New Roman"/>
                <w:color w:val="000000"/>
                <w:sz w:val="20"/>
                <w:szCs w:val="20"/>
                <w:lang w:eastAsia="pl-PL"/>
              </w:rPr>
              <w:t>;</w:t>
            </w:r>
          </w:p>
          <w:p w14:paraId="32562A32" w14:textId="77777777" w:rsidR="00DD24E6" w:rsidRPr="0080193D" w:rsidRDefault="002C3BC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ujemny wynik badań na obecność HBsAg i HBcAb, a w przypadku dodatniego wyniku HBsAg lub HBcAb przed rozpoczęciem leczenia konieczna konsultacja przez lekarza hepatologa lub lekarza chorób zakaźnych.</w:t>
            </w:r>
          </w:p>
          <w:p w14:paraId="528B1899" w14:textId="77777777" w:rsidR="00DD24E6" w:rsidRPr="0080193D" w:rsidRDefault="00DD24E6" w:rsidP="0080193D">
            <w:pPr>
              <w:rPr>
                <w:rFonts w:ascii="Times New Roman" w:eastAsia="Times New Roman" w:hAnsi="Times New Roman" w:cs="Times New Roman"/>
                <w:b/>
                <w:bCs/>
                <w:color w:val="000000"/>
                <w:sz w:val="20"/>
                <w:szCs w:val="20"/>
                <w:lang w:eastAsia="pl-PL"/>
              </w:rPr>
            </w:pPr>
          </w:p>
          <w:p w14:paraId="12592CFA" w14:textId="77777777" w:rsidR="00DD24E6" w:rsidRPr="0080193D" w:rsidRDefault="00650F7E" w:rsidP="00C81D3A">
            <w:pPr>
              <w:pStyle w:val="Akapitzlist"/>
              <w:numPr>
                <w:ilvl w:val="1"/>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color w:val="000000"/>
                <w:sz w:val="20"/>
                <w:szCs w:val="20"/>
                <w:lang w:eastAsia="pl-PL"/>
              </w:rPr>
              <w:t>Szczegółowe kryteria kwalifikacji do terapii w II i kolejnych liniach leczenia</w:t>
            </w:r>
          </w:p>
          <w:p w14:paraId="40FCEA31" w14:textId="49679960"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wenetoklaks</w:t>
            </w:r>
            <w:proofErr w:type="spellEnd"/>
            <w:r w:rsidRPr="0080193D">
              <w:rPr>
                <w:rFonts w:ascii="Times New Roman" w:eastAsia="Times New Roman" w:hAnsi="Times New Roman" w:cs="Times New Roman"/>
                <w:b/>
                <w:bCs/>
                <w:i/>
                <w:iCs/>
                <w:color w:val="000000"/>
                <w:sz w:val="20"/>
                <w:szCs w:val="20"/>
                <w:lang w:eastAsia="pl-PL"/>
              </w:rPr>
              <w:t xml:space="preserve"> w skojarzeniu z </w:t>
            </w:r>
            <w:proofErr w:type="spellStart"/>
            <w:r w:rsidRPr="0080193D">
              <w:rPr>
                <w:rFonts w:ascii="Times New Roman" w:eastAsia="Times New Roman" w:hAnsi="Times New Roman" w:cs="Times New Roman"/>
                <w:b/>
                <w:bCs/>
                <w:i/>
                <w:iCs/>
                <w:color w:val="000000"/>
                <w:sz w:val="20"/>
                <w:szCs w:val="20"/>
                <w:lang w:eastAsia="pl-PL"/>
              </w:rPr>
              <w:t>rytuksymabem</w:t>
            </w:r>
            <w:proofErr w:type="spellEnd"/>
            <w:r w:rsidR="00B87DE4" w:rsidRPr="0080193D">
              <w:rPr>
                <w:rFonts w:ascii="Times New Roman" w:eastAsia="Times New Roman" w:hAnsi="Times New Roman" w:cs="Times New Roman"/>
                <w:b/>
                <w:bCs/>
                <w:i/>
                <w:iCs/>
                <w:color w:val="000000"/>
                <w:sz w:val="20"/>
                <w:szCs w:val="20"/>
                <w:lang w:eastAsia="pl-PL"/>
              </w:rPr>
              <w:t xml:space="preserve"> </w:t>
            </w:r>
            <w:r w:rsidR="00B87DE4" w:rsidRPr="0080193D">
              <w:rPr>
                <w:rFonts w:ascii="Times New Roman" w:eastAsia="Times New Roman" w:hAnsi="Times New Roman" w:cs="Times New Roman"/>
                <w:b/>
                <w:bCs/>
                <w:color w:val="000000"/>
                <w:sz w:val="20"/>
                <w:szCs w:val="20"/>
                <w:lang w:eastAsia="pl-PL"/>
              </w:rPr>
              <w:t xml:space="preserve">dla chorych z delecją 17p lub mutacją </w:t>
            </w:r>
            <w:r w:rsidR="00B87DE4" w:rsidRPr="0080193D">
              <w:rPr>
                <w:rFonts w:ascii="Times New Roman" w:eastAsia="Times New Roman" w:hAnsi="Times New Roman" w:cs="Times New Roman"/>
                <w:b/>
                <w:bCs/>
                <w:i/>
                <w:iCs/>
                <w:color w:val="000000"/>
                <w:sz w:val="20"/>
                <w:szCs w:val="20"/>
                <w:lang w:eastAsia="pl-PL"/>
              </w:rPr>
              <w:t>TP53</w:t>
            </w:r>
            <w:r w:rsidR="00B87DE4" w:rsidRPr="0080193D">
              <w:rPr>
                <w:rFonts w:ascii="Times New Roman" w:eastAsia="Times New Roman" w:hAnsi="Times New Roman" w:cs="Times New Roman"/>
                <w:b/>
                <w:bCs/>
                <w:color w:val="000000"/>
                <w:sz w:val="20"/>
                <w:szCs w:val="20"/>
                <w:lang w:eastAsia="pl-PL"/>
              </w:rPr>
              <w:t xml:space="preserve"> oraz dla chorych bez delecji </w:t>
            </w:r>
            <w:r w:rsidR="009C5240" w:rsidRPr="0080193D">
              <w:rPr>
                <w:rFonts w:ascii="Times New Roman" w:eastAsia="Times New Roman" w:hAnsi="Times New Roman" w:cs="Times New Roman"/>
                <w:b/>
                <w:bCs/>
                <w:color w:val="000000"/>
                <w:sz w:val="20"/>
                <w:szCs w:val="20"/>
                <w:lang w:eastAsia="pl-PL"/>
              </w:rPr>
              <w:t xml:space="preserve">17p lub mutacji </w:t>
            </w:r>
            <w:r w:rsidR="009C5240" w:rsidRPr="0080193D">
              <w:rPr>
                <w:rFonts w:ascii="Times New Roman" w:eastAsia="Times New Roman" w:hAnsi="Times New Roman" w:cs="Times New Roman"/>
                <w:b/>
                <w:bCs/>
                <w:i/>
                <w:iCs/>
                <w:color w:val="000000"/>
                <w:sz w:val="20"/>
                <w:szCs w:val="20"/>
                <w:lang w:eastAsia="pl-PL"/>
              </w:rPr>
              <w:t>TP53</w:t>
            </w:r>
          </w:p>
          <w:p w14:paraId="43650B4A" w14:textId="06538458" w:rsidR="00CE5F87"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660F2D24" w14:textId="59FFA732" w:rsidR="00DD24E6"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stosowano uprzednio co najmniej jedną linię leczenia, bez względu na status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(mutTP53).</w:t>
            </w:r>
          </w:p>
          <w:p w14:paraId="5337D81A" w14:textId="77777777" w:rsidR="00DD24E6" w:rsidRPr="0080193D" w:rsidRDefault="00DD24E6" w:rsidP="0080193D">
            <w:pPr>
              <w:pStyle w:val="Akapitzlist"/>
              <w:ind w:left="454"/>
              <w:contextualSpacing w:val="0"/>
              <w:rPr>
                <w:rFonts w:ascii="Times New Roman" w:eastAsia="Times New Roman" w:hAnsi="Times New Roman" w:cs="Times New Roman"/>
                <w:color w:val="000000"/>
                <w:sz w:val="20"/>
                <w:szCs w:val="20"/>
                <w:lang w:eastAsia="pl-PL"/>
              </w:rPr>
            </w:pPr>
          </w:p>
          <w:p w14:paraId="5A5C15B3" w14:textId="41E58650"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ibrutynib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r w:rsidRPr="0080193D">
              <w:rPr>
                <w:rFonts w:ascii="Times New Roman" w:eastAsia="Times New Roman" w:hAnsi="Times New Roman" w:cs="Times New Roman"/>
                <w:b/>
                <w:bCs/>
                <w:color w:val="000000"/>
                <w:sz w:val="20"/>
                <w:szCs w:val="20"/>
                <w:lang w:eastAsia="pl-PL"/>
              </w:rPr>
              <w:t xml:space="preserve"> dla </w:t>
            </w:r>
            <w:r w:rsidRPr="0080193D">
              <w:rPr>
                <w:rFonts w:ascii="Times New Roman" w:hAnsi="Times New Roman" w:cs="Times New Roman"/>
                <w:b/>
                <w:bCs/>
                <w:sz w:val="20"/>
                <w:szCs w:val="20"/>
              </w:rPr>
              <w:t xml:space="preserve">chorych z delecją 17p lub mutacją </w:t>
            </w:r>
            <w:r w:rsidRPr="0080193D">
              <w:rPr>
                <w:rFonts w:ascii="Times New Roman" w:hAnsi="Times New Roman" w:cs="Times New Roman"/>
                <w:b/>
                <w:bCs/>
                <w:i/>
                <w:iCs/>
                <w:sz w:val="20"/>
                <w:szCs w:val="20"/>
              </w:rPr>
              <w:t>TP53</w:t>
            </w:r>
            <w:r w:rsidR="007C4D58" w:rsidRPr="0080193D">
              <w:rPr>
                <w:rFonts w:ascii="Times New Roman" w:eastAsia="Times New Roman" w:hAnsi="Times New Roman" w:cs="Times New Roman"/>
                <w:b/>
                <w:bCs/>
                <w:color w:val="000000"/>
                <w:sz w:val="20"/>
                <w:szCs w:val="20"/>
                <w:lang w:eastAsia="pl-PL"/>
              </w:rPr>
              <w:t xml:space="preserve"> oraz dla chorych bez delecji 17p lub mutacji </w:t>
            </w:r>
            <w:r w:rsidR="007C4D58" w:rsidRPr="0080193D">
              <w:rPr>
                <w:rFonts w:ascii="Times New Roman" w:eastAsia="Times New Roman" w:hAnsi="Times New Roman" w:cs="Times New Roman"/>
                <w:b/>
                <w:bCs/>
                <w:i/>
                <w:iCs/>
                <w:color w:val="000000"/>
                <w:sz w:val="20"/>
                <w:szCs w:val="20"/>
                <w:lang w:eastAsia="pl-PL"/>
              </w:rPr>
              <w:t>TP53</w:t>
            </w:r>
          </w:p>
          <w:p w14:paraId="6BFFE9BC" w14:textId="250EEA03" w:rsidR="009C5240" w:rsidRPr="0080193D" w:rsidRDefault="009C524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091A9CC3" w14:textId="04DED4A3" w:rsidR="007C4D58" w:rsidRPr="0080193D" w:rsidRDefault="007C4D58"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stosowano uprzednio co najmniej jedną linię leczenia, bez względu na status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mutacji w genie TP53 (mutTP53)</w:t>
            </w:r>
            <w:r w:rsidR="00E06D10">
              <w:rPr>
                <w:rFonts w:ascii="Times New Roman" w:eastAsia="Times New Roman" w:hAnsi="Times New Roman" w:cs="Times New Roman"/>
                <w:color w:val="000000"/>
                <w:sz w:val="20"/>
                <w:szCs w:val="20"/>
                <w:lang w:eastAsia="pl-PL"/>
              </w:rPr>
              <w:t>.</w:t>
            </w:r>
          </w:p>
          <w:p w14:paraId="0D2CD9D5" w14:textId="77777777" w:rsidR="00DD24E6" w:rsidRPr="0080193D" w:rsidRDefault="00DD24E6" w:rsidP="0080193D">
            <w:pPr>
              <w:pStyle w:val="Akapitzlist"/>
              <w:ind w:left="454"/>
              <w:contextualSpacing w:val="0"/>
              <w:rPr>
                <w:rFonts w:ascii="Times New Roman" w:eastAsia="Times New Roman" w:hAnsi="Times New Roman" w:cs="Times New Roman"/>
                <w:color w:val="000000"/>
                <w:sz w:val="20"/>
                <w:szCs w:val="20"/>
                <w:lang w:eastAsia="pl-PL"/>
              </w:rPr>
            </w:pPr>
          </w:p>
          <w:p w14:paraId="2FAABD18" w14:textId="4B828198"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akalabrutynib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r w:rsidRPr="0080193D">
              <w:rPr>
                <w:rFonts w:ascii="Times New Roman" w:eastAsia="Times New Roman" w:hAnsi="Times New Roman" w:cs="Times New Roman"/>
                <w:b/>
                <w:bCs/>
                <w:color w:val="000000"/>
                <w:sz w:val="20"/>
                <w:szCs w:val="20"/>
                <w:lang w:eastAsia="pl-PL"/>
              </w:rPr>
              <w:t xml:space="preserve"> dla </w:t>
            </w:r>
            <w:r w:rsidRPr="0080193D">
              <w:rPr>
                <w:rFonts w:ascii="Times New Roman" w:hAnsi="Times New Roman" w:cs="Times New Roman"/>
                <w:b/>
                <w:bCs/>
                <w:sz w:val="20"/>
                <w:szCs w:val="20"/>
              </w:rPr>
              <w:t xml:space="preserve">chorych z delecją 17p lub mutacją </w:t>
            </w:r>
            <w:r w:rsidRPr="0080193D">
              <w:rPr>
                <w:rFonts w:ascii="Times New Roman" w:hAnsi="Times New Roman" w:cs="Times New Roman"/>
                <w:b/>
                <w:bCs/>
                <w:i/>
                <w:iCs/>
                <w:sz w:val="20"/>
                <w:szCs w:val="20"/>
              </w:rPr>
              <w:t>TP53</w:t>
            </w:r>
          </w:p>
          <w:p w14:paraId="2F527DB6" w14:textId="11827EDD" w:rsidR="009C5240" w:rsidRPr="0080193D" w:rsidRDefault="009C524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6DFEA5E9" w14:textId="23850C35" w:rsidR="00DD24E6"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lastRenderedPageBreak/>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w:t>
            </w:r>
            <w:r w:rsidR="009C5240" w:rsidRPr="0080193D">
              <w:rPr>
                <w:rFonts w:ascii="Times New Roman" w:eastAsia="Times New Roman" w:hAnsi="Times New Roman" w:cs="Times New Roman"/>
                <w:color w:val="000000"/>
                <w:sz w:val="20"/>
                <w:szCs w:val="20"/>
                <w:lang w:eastAsia="pl-PL"/>
              </w:rPr>
              <w:t>.</w:t>
            </w:r>
          </w:p>
          <w:p w14:paraId="3CC884DA" w14:textId="77777777" w:rsidR="00DD24E6" w:rsidRPr="0080193D" w:rsidRDefault="00DD24E6" w:rsidP="0080193D">
            <w:pPr>
              <w:rPr>
                <w:rFonts w:ascii="Times New Roman" w:eastAsia="Times New Roman" w:hAnsi="Times New Roman" w:cs="Times New Roman"/>
                <w:b/>
                <w:bCs/>
                <w:i/>
                <w:iCs/>
                <w:color w:val="000000"/>
                <w:sz w:val="20"/>
                <w:szCs w:val="20"/>
                <w:lang w:eastAsia="pl-PL"/>
              </w:rPr>
            </w:pPr>
          </w:p>
          <w:p w14:paraId="61B9A579" w14:textId="22169D12" w:rsidR="00E86C32" w:rsidRPr="0080193D" w:rsidRDefault="00E86C32"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wenetoklaks</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hAnsi="Times New Roman" w:cs="Times New Roman"/>
                <w:b/>
                <w:bCs/>
                <w:i/>
                <w:iCs/>
                <w:sz w:val="20"/>
                <w:szCs w:val="20"/>
              </w:rPr>
              <w:t>monoterapii</w:t>
            </w:r>
            <w:proofErr w:type="spellEnd"/>
            <w:r w:rsidRPr="0080193D">
              <w:rPr>
                <w:rFonts w:ascii="Times New Roman" w:hAnsi="Times New Roman" w:cs="Times New Roman"/>
                <w:b/>
                <w:bCs/>
                <w:sz w:val="20"/>
                <w:szCs w:val="20"/>
              </w:rPr>
              <w:t xml:space="preserve"> dla chorych z delecją 17p lub mutacją </w:t>
            </w:r>
            <w:r w:rsidRPr="0080193D">
              <w:rPr>
                <w:rFonts w:ascii="Times New Roman" w:hAnsi="Times New Roman" w:cs="Times New Roman"/>
                <w:b/>
                <w:bCs/>
                <w:i/>
                <w:iCs/>
                <w:sz w:val="20"/>
                <w:szCs w:val="20"/>
              </w:rPr>
              <w:t>TP53</w:t>
            </w:r>
            <w:r w:rsidRPr="0080193D">
              <w:rPr>
                <w:rFonts w:ascii="Times New Roman" w:hAnsi="Times New Roman" w:cs="Times New Roman"/>
                <w:b/>
                <w:bCs/>
                <w:sz w:val="20"/>
                <w:szCs w:val="20"/>
              </w:rPr>
              <w:t xml:space="preserve">, u których nie powiodło się leczenie </w:t>
            </w:r>
            <w:proofErr w:type="spellStart"/>
            <w:r w:rsidRPr="0080193D">
              <w:rPr>
                <w:rFonts w:ascii="Times New Roman" w:hAnsi="Times New Roman" w:cs="Times New Roman"/>
                <w:b/>
                <w:bCs/>
                <w:sz w:val="20"/>
                <w:szCs w:val="20"/>
              </w:rPr>
              <w:t>ibrutynibem</w:t>
            </w:r>
            <w:proofErr w:type="spellEnd"/>
          </w:p>
          <w:p w14:paraId="5FE0FDAA" w14:textId="50F58EF3" w:rsidR="00E52DEA" w:rsidRPr="0080193D" w:rsidRDefault="00E52DEA"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t xml:space="preserve">niepowodzenie po leczeniu </w:t>
            </w:r>
            <w:proofErr w:type="spellStart"/>
            <w:r w:rsidRPr="0080193D">
              <w:rPr>
                <w:rFonts w:ascii="Times New Roman" w:eastAsia="Times New Roman" w:hAnsi="Times New Roman" w:cs="Times New Roman"/>
                <w:color w:val="000000"/>
                <w:sz w:val="20"/>
                <w:szCs w:val="20"/>
                <w:lang w:eastAsia="pl-PL"/>
              </w:rPr>
              <w:t>ibrutynibem</w:t>
            </w:r>
            <w:proofErr w:type="spellEnd"/>
            <w:r w:rsidRPr="0080193D">
              <w:rPr>
                <w:rFonts w:ascii="Times New Roman" w:eastAsia="Times New Roman" w:hAnsi="Times New Roman" w:cs="Times New Roman"/>
                <w:color w:val="000000"/>
                <w:sz w:val="20"/>
                <w:szCs w:val="20"/>
                <w:lang w:eastAsia="pl-PL"/>
              </w:rPr>
              <w:t>;</w:t>
            </w:r>
          </w:p>
          <w:p w14:paraId="417B870C" w14:textId="17A585D1" w:rsidR="00DD24E6" w:rsidRPr="0080193D" w:rsidRDefault="00E86C32"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w:t>
            </w:r>
            <w:r w:rsidR="00E52DEA" w:rsidRPr="0080193D">
              <w:rPr>
                <w:rFonts w:ascii="Times New Roman" w:eastAsia="Times New Roman" w:hAnsi="Times New Roman" w:cs="Times New Roman"/>
                <w:color w:val="000000"/>
                <w:sz w:val="20"/>
                <w:szCs w:val="20"/>
                <w:lang w:eastAsia="pl-PL"/>
              </w:rPr>
              <w:t>.</w:t>
            </w:r>
          </w:p>
          <w:p w14:paraId="3CB3FB06" w14:textId="77777777" w:rsidR="00DD24E6" w:rsidRPr="0080193D" w:rsidRDefault="00DD24E6" w:rsidP="0080193D">
            <w:pPr>
              <w:rPr>
                <w:rFonts w:ascii="Times New Roman" w:eastAsia="Times New Roman" w:hAnsi="Times New Roman" w:cs="Times New Roman"/>
                <w:b/>
                <w:bCs/>
                <w:i/>
                <w:iCs/>
                <w:color w:val="000000"/>
                <w:sz w:val="20"/>
                <w:szCs w:val="20"/>
                <w:lang w:eastAsia="pl-PL"/>
              </w:rPr>
            </w:pPr>
          </w:p>
          <w:p w14:paraId="65446408" w14:textId="56CC0091" w:rsidR="00650F7E" w:rsidRPr="0080193D" w:rsidRDefault="00E52060"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akalabrutynib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r w:rsidRPr="0080193D">
              <w:rPr>
                <w:rFonts w:ascii="Times New Roman" w:eastAsia="Times New Roman" w:hAnsi="Times New Roman" w:cs="Times New Roman"/>
                <w:b/>
                <w:bCs/>
                <w:i/>
                <w:iCs/>
                <w:color w:val="000000"/>
                <w:sz w:val="20"/>
                <w:szCs w:val="20"/>
                <w:lang w:eastAsia="pl-PL"/>
              </w:rPr>
              <w:t xml:space="preserve"> </w:t>
            </w:r>
            <w:r w:rsidR="00B700FB" w:rsidRPr="0080193D">
              <w:rPr>
                <w:rFonts w:ascii="Times New Roman" w:eastAsia="Times New Roman" w:hAnsi="Times New Roman" w:cs="Times New Roman"/>
                <w:b/>
                <w:bCs/>
                <w:color w:val="000000"/>
                <w:sz w:val="20"/>
                <w:szCs w:val="20"/>
                <w:lang w:eastAsia="pl-PL"/>
              </w:rPr>
              <w:t xml:space="preserve">dla </w:t>
            </w:r>
            <w:r w:rsidR="00B700FB" w:rsidRPr="0080193D">
              <w:rPr>
                <w:rFonts w:ascii="Times New Roman" w:hAnsi="Times New Roman" w:cs="Times New Roman"/>
                <w:b/>
                <w:sz w:val="20"/>
                <w:szCs w:val="20"/>
              </w:rPr>
              <w:t xml:space="preserve">chorych bez delecji 17p lub mutacji </w:t>
            </w:r>
            <w:r w:rsidR="00B700FB" w:rsidRPr="0080193D">
              <w:rPr>
                <w:rFonts w:ascii="Times New Roman" w:hAnsi="Times New Roman" w:cs="Times New Roman"/>
                <w:b/>
                <w:i/>
                <w:iCs/>
                <w:sz w:val="20"/>
                <w:szCs w:val="20"/>
              </w:rPr>
              <w:t>TP53</w:t>
            </w:r>
          </w:p>
          <w:p w14:paraId="41C0B79F" w14:textId="5CFCB419" w:rsidR="00E52060" w:rsidRPr="0080193D" w:rsidRDefault="00E5206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19511B44" w14:textId="34566C72" w:rsidR="00E52060" w:rsidRPr="0080193D" w:rsidRDefault="00E5206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spełnienie jednego z poniższych kryteriów:</w:t>
            </w:r>
          </w:p>
          <w:p w14:paraId="0AFC119B" w14:textId="37DDB75D" w:rsidR="00300220"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nawrót/progresja choroby po lub brak odpowiedzi na leczenie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 xml:space="preserve">z zastosowaniem schematu zawierającego </w:t>
            </w:r>
            <w:proofErr w:type="spellStart"/>
            <w:r w:rsidRPr="0080193D">
              <w:rPr>
                <w:rFonts w:ascii="Times New Roman" w:hAnsi="Times New Roman" w:cs="Times New Roman"/>
                <w:sz w:val="20"/>
                <w:szCs w:val="20"/>
              </w:rPr>
              <w:t>wenetoklaks</w:t>
            </w:r>
            <w:proofErr w:type="spellEnd"/>
            <w:r w:rsidRPr="0080193D">
              <w:rPr>
                <w:rFonts w:ascii="Times New Roman" w:hAnsi="Times New Roman" w:cs="Times New Roman"/>
                <w:sz w:val="20"/>
                <w:szCs w:val="20"/>
              </w:rPr>
              <w:t xml:space="preserve"> w skojarzeniu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 xml:space="preserve">z przeciwciałem anty-CD20, </w:t>
            </w:r>
          </w:p>
          <w:p w14:paraId="0518573B" w14:textId="3DBCB1C1" w:rsidR="008A0BAA" w:rsidRPr="0080193D" w:rsidRDefault="008A0BAA" w:rsidP="00C81D3A">
            <w:pPr>
              <w:pStyle w:val="Akapitzlist"/>
              <w:ind w:left="454"/>
              <w:contextualSpacing w:val="0"/>
              <w:rPr>
                <w:rFonts w:ascii="Times New Roman" w:hAnsi="Times New Roman" w:cs="Times New Roman"/>
                <w:sz w:val="20"/>
                <w:szCs w:val="20"/>
              </w:rPr>
            </w:pPr>
            <w:r w:rsidRPr="0080193D">
              <w:rPr>
                <w:rFonts w:ascii="Times New Roman" w:hAnsi="Times New Roman" w:cs="Times New Roman"/>
                <w:sz w:val="20"/>
                <w:szCs w:val="20"/>
              </w:rPr>
              <w:t>lub</w:t>
            </w:r>
          </w:p>
          <w:p w14:paraId="36D6206C" w14:textId="4FD03F3B" w:rsidR="00300220"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przeciwwskazania medyczne do zastosowania schematu zawierającego </w:t>
            </w:r>
            <w:proofErr w:type="spellStart"/>
            <w:r w:rsidRPr="0080193D">
              <w:rPr>
                <w:rFonts w:ascii="Times New Roman" w:hAnsi="Times New Roman" w:cs="Times New Roman"/>
                <w:sz w:val="20"/>
                <w:szCs w:val="20"/>
              </w:rPr>
              <w:t>wenetoklaks</w:t>
            </w:r>
            <w:proofErr w:type="spellEnd"/>
            <w:r w:rsidRPr="0080193D">
              <w:rPr>
                <w:rFonts w:ascii="Times New Roman" w:hAnsi="Times New Roman" w:cs="Times New Roman"/>
                <w:sz w:val="20"/>
                <w:szCs w:val="20"/>
              </w:rPr>
              <w:t xml:space="preserve"> w skojarzeniu z przeciwciałem anty-CD20 </w:t>
            </w:r>
            <w:r w:rsidR="004B536F" w:rsidRPr="0080193D">
              <w:rPr>
                <w:rFonts w:ascii="Times New Roman" w:hAnsi="Times New Roman" w:cs="Times New Roman"/>
                <w:sz w:val="20"/>
                <w:szCs w:val="20"/>
              </w:rPr>
              <w:t xml:space="preserve">(tj. niespełnienie odpowiednich kryteriów kwalifikacji do terapii </w:t>
            </w:r>
            <w:proofErr w:type="spellStart"/>
            <w:r w:rsidR="004B536F" w:rsidRPr="0080193D">
              <w:rPr>
                <w:rFonts w:ascii="Times New Roman" w:hAnsi="Times New Roman" w:cs="Times New Roman"/>
                <w:sz w:val="20"/>
                <w:szCs w:val="20"/>
              </w:rPr>
              <w:t>wenetoklaksem</w:t>
            </w:r>
            <w:proofErr w:type="spellEnd"/>
            <w:r w:rsidR="004B536F" w:rsidRPr="0080193D">
              <w:rPr>
                <w:rFonts w:ascii="Times New Roman" w:hAnsi="Times New Roman" w:cs="Times New Roman"/>
                <w:sz w:val="20"/>
                <w:szCs w:val="20"/>
              </w:rPr>
              <w:t xml:space="preserve"> </w:t>
            </w:r>
            <w:r w:rsidR="0032771D" w:rsidRPr="0080193D">
              <w:rPr>
                <w:rFonts w:ascii="Times New Roman" w:hAnsi="Times New Roman" w:cs="Times New Roman"/>
                <w:sz w:val="20"/>
                <w:szCs w:val="20"/>
              </w:rPr>
              <w:br/>
            </w:r>
            <w:r w:rsidR="004B536F" w:rsidRPr="0080193D">
              <w:rPr>
                <w:rFonts w:ascii="Times New Roman" w:hAnsi="Times New Roman" w:cs="Times New Roman"/>
                <w:sz w:val="20"/>
                <w:szCs w:val="20"/>
              </w:rPr>
              <w:t>z przeciwciałem anty-CD20)</w:t>
            </w:r>
            <w:r w:rsidRPr="0080193D">
              <w:rPr>
                <w:rFonts w:ascii="Times New Roman" w:hAnsi="Times New Roman" w:cs="Times New Roman"/>
                <w:sz w:val="20"/>
                <w:szCs w:val="20"/>
              </w:rPr>
              <w:t xml:space="preserve">, </w:t>
            </w:r>
          </w:p>
          <w:p w14:paraId="296CAD63" w14:textId="033C2EA5" w:rsidR="008A0BAA" w:rsidRPr="0080193D" w:rsidRDefault="008A0BAA" w:rsidP="00085364">
            <w:pPr>
              <w:pStyle w:val="Akapitzlist"/>
              <w:ind w:left="454"/>
              <w:contextualSpacing w:val="0"/>
              <w:rPr>
                <w:rFonts w:ascii="Times New Roman" w:hAnsi="Times New Roman" w:cs="Times New Roman"/>
                <w:sz w:val="20"/>
                <w:szCs w:val="20"/>
              </w:rPr>
            </w:pPr>
            <w:r w:rsidRPr="0080193D">
              <w:rPr>
                <w:rFonts w:ascii="Times New Roman" w:hAnsi="Times New Roman" w:cs="Times New Roman"/>
                <w:sz w:val="20"/>
                <w:szCs w:val="20"/>
              </w:rPr>
              <w:t>lub</w:t>
            </w:r>
          </w:p>
          <w:p w14:paraId="396D3177" w14:textId="0316891D" w:rsidR="008A0BAA"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toksyczność niepozwalająca na kontynuację leczenia </w:t>
            </w:r>
            <w:proofErr w:type="spellStart"/>
            <w:r w:rsidRPr="0080193D">
              <w:rPr>
                <w:rFonts w:ascii="Times New Roman" w:hAnsi="Times New Roman" w:cs="Times New Roman"/>
                <w:sz w:val="20"/>
                <w:szCs w:val="20"/>
              </w:rPr>
              <w:t>wenetoklaksem</w:t>
            </w:r>
            <w:proofErr w:type="spellEnd"/>
            <w:r w:rsidRPr="0080193D">
              <w:rPr>
                <w:rFonts w:ascii="Times New Roman" w:hAnsi="Times New Roman" w:cs="Times New Roman"/>
                <w:sz w:val="20"/>
                <w:szCs w:val="20"/>
              </w:rPr>
              <w:t xml:space="preserve">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i przeciwciałem anty-CD20.</w:t>
            </w:r>
          </w:p>
          <w:p w14:paraId="34056CA7" w14:textId="108C3F98" w:rsidR="00B700FB" w:rsidRPr="0080193D" w:rsidRDefault="00B700FB" w:rsidP="0080193D">
            <w:pPr>
              <w:rPr>
                <w:rFonts w:ascii="Times New Roman" w:eastAsia="Times New Roman" w:hAnsi="Times New Roman" w:cs="Times New Roman"/>
                <w:color w:val="000000"/>
                <w:sz w:val="20"/>
                <w:szCs w:val="20"/>
                <w:lang w:eastAsia="pl-PL"/>
              </w:rPr>
            </w:pPr>
          </w:p>
          <w:p w14:paraId="371A11EA" w14:textId="02E1B29A" w:rsidR="000E2051" w:rsidRPr="0080193D" w:rsidRDefault="00B7400E" w:rsidP="00C81D3A">
            <w:pPr>
              <w:pStyle w:val="Akapitzlist"/>
              <w:numPr>
                <w:ilvl w:val="1"/>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Ponadto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lekowego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kwalifikowani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są</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również</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pacjenci,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którzy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byli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leczeni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substancjami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czynnymi</w:t>
            </w:r>
            <w:r w:rsidR="00025874" w:rsidRPr="0080193D">
              <w:rPr>
                <w:rFonts w:ascii="Times New Roman" w:hAnsi="Times New Roman" w:cs="Times New Roman"/>
                <w:sz w:val="20"/>
                <w:szCs w:val="20"/>
              </w:rPr>
              <w:t xml:space="preserve"> </w:t>
            </w:r>
            <w:r w:rsidRPr="009F3ACB">
              <w:rPr>
                <w:rFonts w:ascii="Times New Roman" w:hAnsi="Times New Roman" w:cs="Times New Roman"/>
                <w:sz w:val="20"/>
                <w:szCs w:val="20"/>
              </w:rPr>
              <w:t>finansowanymi</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w</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programie</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lekowym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ramach</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innego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sposobu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finansowania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terapii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pod</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warunkiem,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że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chwili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rozpoczęcia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lastRenderedPageBreak/>
              <w:t>leczenia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spełniali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kryteria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kwalifikacji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lekowego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dotyczy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każdej</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terapii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programie.</w:t>
            </w:r>
          </w:p>
          <w:p w14:paraId="18ED491F" w14:textId="77777777" w:rsidR="000E2051" w:rsidRPr="0080193D" w:rsidRDefault="000E2051" w:rsidP="0080193D">
            <w:pPr>
              <w:rPr>
                <w:rFonts w:ascii="Times New Roman" w:eastAsia="Times New Roman" w:hAnsi="Times New Roman" w:cs="Times New Roman"/>
                <w:b/>
                <w:bCs/>
                <w:sz w:val="20"/>
                <w:szCs w:val="20"/>
                <w:lang w:eastAsia="pl-PL"/>
              </w:rPr>
            </w:pPr>
          </w:p>
          <w:p w14:paraId="6D186C41" w14:textId="13749284" w:rsidR="001B2161" w:rsidRPr="0080193D" w:rsidRDefault="009C2DB3" w:rsidP="00C81D3A">
            <w:pPr>
              <w:pStyle w:val="Akapitzlist"/>
              <w:numPr>
                <w:ilvl w:val="0"/>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sz w:val="20"/>
                <w:szCs w:val="20"/>
                <w:lang w:eastAsia="pl-PL"/>
              </w:rPr>
              <w:t>Określenie</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czasu</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leczenia</w:t>
            </w:r>
            <w:r w:rsidR="00025874" w:rsidRPr="0080193D">
              <w:rPr>
                <w:rFonts w:ascii="Times New Roman" w:eastAsia="Times New Roman" w:hAnsi="Times New Roman" w:cs="Times New Roman"/>
                <w:b/>
                <w:bCs/>
                <w:sz w:val="20"/>
                <w:szCs w:val="20"/>
                <w:lang w:eastAsia="pl-PL"/>
              </w:rPr>
              <w:t xml:space="preserve"> </w:t>
            </w:r>
            <w:r w:rsidR="00B8260B" w:rsidRPr="0080193D">
              <w:rPr>
                <w:rFonts w:ascii="Times New Roman" w:eastAsia="Times New Roman" w:hAnsi="Times New Roman" w:cs="Times New Roman"/>
                <w:b/>
                <w:bCs/>
                <w:sz w:val="20"/>
                <w:szCs w:val="20"/>
                <w:lang w:eastAsia="pl-PL"/>
              </w:rPr>
              <w:t>w</w:t>
            </w:r>
            <w:r w:rsidR="00025874" w:rsidRPr="0080193D">
              <w:rPr>
                <w:rFonts w:ascii="Times New Roman" w:eastAsia="Times New Roman" w:hAnsi="Times New Roman" w:cs="Times New Roman"/>
                <w:b/>
                <w:bCs/>
                <w:sz w:val="20"/>
                <w:szCs w:val="20"/>
                <w:lang w:eastAsia="pl-PL"/>
              </w:rPr>
              <w:t xml:space="preserve"> </w:t>
            </w:r>
            <w:r w:rsidR="00B8260B" w:rsidRPr="0080193D">
              <w:rPr>
                <w:rFonts w:ascii="Times New Roman" w:eastAsia="Times New Roman" w:hAnsi="Times New Roman" w:cs="Times New Roman"/>
                <w:b/>
                <w:bCs/>
                <w:sz w:val="20"/>
                <w:szCs w:val="20"/>
                <w:lang w:eastAsia="pl-PL"/>
              </w:rPr>
              <w:t>programie</w:t>
            </w:r>
          </w:p>
          <w:p w14:paraId="5BDFBE34" w14:textId="77777777" w:rsidR="000E2051" w:rsidRPr="00085364" w:rsidRDefault="00044D2A" w:rsidP="00085364">
            <w:pPr>
              <w:rPr>
                <w:rFonts w:ascii="Times New Roman" w:hAnsi="Times New Roman" w:cs="Times New Roman"/>
                <w:sz w:val="20"/>
                <w:szCs w:val="20"/>
              </w:rPr>
            </w:pPr>
            <w:r w:rsidRPr="00085364">
              <w:rPr>
                <w:rFonts w:ascii="Times New Roman" w:hAnsi="Times New Roman" w:cs="Times New Roman"/>
                <w:sz w:val="20"/>
                <w:szCs w:val="20"/>
              </w:rPr>
              <w:t>Leczenie trwa do czasu podjęcia przez lekarza prowadzącego decyzji o wyłączeniu świadczeniobiorcy z programu, zgodnie z kryteriami wyłączenia</w:t>
            </w:r>
            <w:r w:rsidR="00DC1C94" w:rsidRPr="00085364">
              <w:rPr>
                <w:rFonts w:ascii="Times New Roman" w:hAnsi="Times New Roman" w:cs="Times New Roman"/>
                <w:sz w:val="20"/>
                <w:szCs w:val="20"/>
              </w:rPr>
              <w:t xml:space="preserve">, </w:t>
            </w:r>
            <w:r w:rsidR="00F4640C" w:rsidRPr="00085364">
              <w:rPr>
                <w:rFonts w:ascii="Times New Roman" w:hAnsi="Times New Roman" w:cs="Times New Roman"/>
                <w:sz w:val="20"/>
                <w:szCs w:val="20"/>
              </w:rPr>
              <w:t xml:space="preserve">jednak </w:t>
            </w:r>
            <w:r w:rsidR="00F4640C" w:rsidRPr="00085364">
              <w:rPr>
                <w:rFonts w:ascii="Times New Roman" w:hAnsi="Times New Roman" w:cs="Times New Roman"/>
                <w:sz w:val="20"/>
                <w:szCs w:val="20"/>
              </w:rPr>
              <w:br/>
            </w:r>
            <w:r w:rsidR="002135F6" w:rsidRPr="00085364">
              <w:rPr>
                <w:rFonts w:ascii="Times New Roman" w:hAnsi="Times New Roman" w:cs="Times New Roman"/>
                <w:sz w:val="20"/>
                <w:szCs w:val="20"/>
              </w:rPr>
              <w:t>z</w:t>
            </w:r>
            <w:r w:rsidR="00F4640C" w:rsidRPr="00085364">
              <w:rPr>
                <w:rFonts w:ascii="Times New Roman" w:hAnsi="Times New Roman" w:cs="Times New Roman"/>
                <w:sz w:val="20"/>
                <w:szCs w:val="20"/>
              </w:rPr>
              <w:t xml:space="preserve"> </w:t>
            </w:r>
            <w:r w:rsidR="002135F6" w:rsidRPr="00085364">
              <w:rPr>
                <w:rFonts w:ascii="Times New Roman" w:hAnsi="Times New Roman" w:cs="Times New Roman"/>
                <w:sz w:val="20"/>
                <w:szCs w:val="20"/>
              </w:rPr>
              <w:t>zastrzeżeniem, iż</w:t>
            </w:r>
            <w:r w:rsidRPr="00085364">
              <w:rPr>
                <w:rFonts w:ascii="Times New Roman" w:hAnsi="Times New Roman" w:cs="Times New Roman"/>
                <w:sz w:val="20"/>
                <w:szCs w:val="20"/>
              </w:rPr>
              <w:t xml:space="preserve"> w przypadku terapii:</w:t>
            </w:r>
          </w:p>
          <w:p w14:paraId="159DB7FE" w14:textId="48BFD02F" w:rsidR="00044D2A" w:rsidRPr="0080193D" w:rsidRDefault="00DC1C94" w:rsidP="00085364">
            <w:pPr>
              <w:pStyle w:val="Akapitzlist"/>
              <w:numPr>
                <w:ilvl w:val="3"/>
                <w:numId w:val="35"/>
              </w:numPr>
              <w:contextualSpacing w:val="0"/>
              <w:rPr>
                <w:rFonts w:ascii="Times New Roman" w:hAnsi="Times New Roman" w:cs="Times New Roman"/>
                <w:sz w:val="20"/>
                <w:szCs w:val="20"/>
              </w:rPr>
            </w:pPr>
            <w:proofErr w:type="spellStart"/>
            <w:r w:rsidRPr="0080193D">
              <w:rPr>
                <w:rFonts w:ascii="Times New Roman" w:hAnsi="Times New Roman" w:cs="Times New Roman"/>
                <w:i/>
                <w:iCs/>
                <w:sz w:val="20"/>
                <w:szCs w:val="20"/>
              </w:rPr>
              <w:t>o</w:t>
            </w:r>
            <w:r w:rsidR="00044D2A" w:rsidRPr="0080193D">
              <w:rPr>
                <w:rFonts w:ascii="Times New Roman" w:hAnsi="Times New Roman" w:cs="Times New Roman"/>
                <w:i/>
                <w:iCs/>
                <w:sz w:val="20"/>
                <w:szCs w:val="20"/>
              </w:rPr>
              <w:t>binutuzumabem</w:t>
            </w:r>
            <w:proofErr w:type="spellEnd"/>
            <w:r w:rsidR="00044D2A" w:rsidRPr="0080193D">
              <w:rPr>
                <w:rFonts w:ascii="Times New Roman" w:hAnsi="Times New Roman" w:cs="Times New Roman"/>
                <w:i/>
                <w:iCs/>
                <w:sz w:val="20"/>
                <w:szCs w:val="20"/>
              </w:rPr>
              <w:t xml:space="preserve"> w skojarzeniu z </w:t>
            </w:r>
            <w:proofErr w:type="spellStart"/>
            <w:r w:rsidR="00044D2A" w:rsidRPr="0080193D">
              <w:rPr>
                <w:rFonts w:ascii="Times New Roman" w:hAnsi="Times New Roman" w:cs="Times New Roman"/>
                <w:i/>
                <w:iCs/>
                <w:sz w:val="20"/>
                <w:szCs w:val="20"/>
              </w:rPr>
              <w:t>chlorambucylem</w:t>
            </w:r>
            <w:proofErr w:type="spellEnd"/>
            <w:r w:rsidR="00044D2A" w:rsidRPr="0080193D">
              <w:rPr>
                <w:rFonts w:ascii="Times New Roman" w:hAnsi="Times New Roman" w:cs="Times New Roman"/>
                <w:sz w:val="20"/>
                <w:szCs w:val="20"/>
              </w:rPr>
              <w:t xml:space="preserve"> – </w:t>
            </w:r>
            <w:r w:rsidRPr="0080193D">
              <w:rPr>
                <w:rFonts w:ascii="Times New Roman" w:hAnsi="Times New Roman" w:cs="Times New Roman"/>
                <w:sz w:val="20"/>
                <w:szCs w:val="20"/>
              </w:rPr>
              <w:t xml:space="preserve">leczenie trwa </w:t>
            </w:r>
            <w:r w:rsidR="002135F6" w:rsidRPr="0080193D">
              <w:rPr>
                <w:rFonts w:ascii="Times New Roman" w:hAnsi="Times New Roman" w:cs="Times New Roman"/>
                <w:sz w:val="20"/>
                <w:szCs w:val="20"/>
              </w:rPr>
              <w:t xml:space="preserve">maksymalnie </w:t>
            </w:r>
            <w:r w:rsidR="00044D2A" w:rsidRPr="0080193D">
              <w:rPr>
                <w:rFonts w:ascii="Times New Roman" w:hAnsi="Times New Roman" w:cs="Times New Roman"/>
                <w:sz w:val="20"/>
                <w:szCs w:val="20"/>
              </w:rPr>
              <w:t>do 6 cykli</w:t>
            </w:r>
            <w:r w:rsidR="002135F6" w:rsidRPr="0080193D">
              <w:rPr>
                <w:rFonts w:ascii="Times New Roman" w:hAnsi="Times New Roman" w:cs="Times New Roman"/>
                <w:sz w:val="20"/>
                <w:szCs w:val="20"/>
              </w:rPr>
              <w:t>;</w:t>
            </w:r>
          </w:p>
          <w:p w14:paraId="1601392C" w14:textId="64838183" w:rsidR="002135F6" w:rsidRPr="0080193D" w:rsidRDefault="002135F6" w:rsidP="00085364">
            <w:pPr>
              <w:pStyle w:val="Akapitzlist"/>
              <w:numPr>
                <w:ilvl w:val="3"/>
                <w:numId w:val="35"/>
              </w:numPr>
              <w:contextualSpacing w:val="0"/>
              <w:rPr>
                <w:rFonts w:ascii="Times New Roman" w:hAnsi="Times New Roman" w:cs="Times New Roman"/>
                <w:sz w:val="20"/>
                <w:szCs w:val="20"/>
              </w:rPr>
            </w:pPr>
            <w:proofErr w:type="spellStart"/>
            <w:r w:rsidRPr="0080193D">
              <w:rPr>
                <w:rFonts w:ascii="Times New Roman" w:hAnsi="Times New Roman" w:cs="Times New Roman"/>
                <w:i/>
                <w:iCs/>
                <w:sz w:val="20"/>
                <w:szCs w:val="20"/>
              </w:rPr>
              <w:t>wenetoklaksem</w:t>
            </w:r>
            <w:proofErr w:type="spellEnd"/>
            <w:r w:rsidRPr="0080193D">
              <w:rPr>
                <w:rFonts w:ascii="Times New Roman" w:hAnsi="Times New Roman" w:cs="Times New Roman"/>
                <w:i/>
                <w:iCs/>
                <w:sz w:val="20"/>
                <w:szCs w:val="20"/>
              </w:rPr>
              <w:t xml:space="preserve"> w skojarzeniu z </w:t>
            </w:r>
            <w:proofErr w:type="spellStart"/>
            <w:r w:rsidRPr="0080193D">
              <w:rPr>
                <w:rFonts w:ascii="Times New Roman" w:hAnsi="Times New Roman" w:cs="Times New Roman"/>
                <w:i/>
                <w:iCs/>
                <w:sz w:val="20"/>
                <w:szCs w:val="20"/>
              </w:rPr>
              <w:t>obinutuzmabem</w:t>
            </w:r>
            <w:proofErr w:type="spellEnd"/>
            <w:r w:rsidRPr="0080193D">
              <w:rPr>
                <w:rFonts w:ascii="Times New Roman" w:hAnsi="Times New Roman" w:cs="Times New Roman"/>
                <w:sz w:val="20"/>
                <w:szCs w:val="20"/>
              </w:rPr>
              <w:t xml:space="preserve"> – maksymalny czas trwania leczenia wynosi 12 cykli po 28 dni, przy czym przez 6 pierwszych cykli </w:t>
            </w:r>
            <w:proofErr w:type="spellStart"/>
            <w:r w:rsidRPr="0080193D">
              <w:rPr>
                <w:rFonts w:ascii="Times New Roman" w:hAnsi="Times New Roman" w:cs="Times New Roman"/>
                <w:sz w:val="20"/>
                <w:szCs w:val="20"/>
              </w:rPr>
              <w:t>wenetoklaks</w:t>
            </w:r>
            <w:proofErr w:type="spellEnd"/>
            <w:r w:rsidRPr="0080193D">
              <w:rPr>
                <w:rFonts w:ascii="Times New Roman" w:hAnsi="Times New Roman" w:cs="Times New Roman"/>
                <w:sz w:val="20"/>
                <w:szCs w:val="20"/>
              </w:rPr>
              <w:t xml:space="preserve"> podawany jest wraz z </w:t>
            </w:r>
            <w:proofErr w:type="spellStart"/>
            <w:r w:rsidRPr="0080193D">
              <w:rPr>
                <w:rFonts w:ascii="Times New Roman" w:hAnsi="Times New Roman" w:cs="Times New Roman"/>
                <w:sz w:val="20"/>
                <w:szCs w:val="20"/>
              </w:rPr>
              <w:t>obinutuzumabem</w:t>
            </w:r>
            <w:proofErr w:type="spellEnd"/>
            <w:r w:rsidRPr="0080193D">
              <w:rPr>
                <w:rFonts w:ascii="Times New Roman" w:hAnsi="Times New Roman" w:cs="Times New Roman"/>
                <w:sz w:val="20"/>
                <w:szCs w:val="20"/>
              </w:rPr>
              <w:t xml:space="preserve">, natomiast przez kolejne 6 cykli (od 7 do 12 cyklu) </w:t>
            </w:r>
            <w:proofErr w:type="spellStart"/>
            <w:r w:rsidRPr="0080193D">
              <w:rPr>
                <w:rFonts w:ascii="Times New Roman" w:hAnsi="Times New Roman" w:cs="Times New Roman"/>
                <w:sz w:val="20"/>
                <w:szCs w:val="20"/>
              </w:rPr>
              <w:t>wenetoklaks</w:t>
            </w:r>
            <w:proofErr w:type="spellEnd"/>
            <w:r w:rsidRPr="0080193D">
              <w:rPr>
                <w:rFonts w:ascii="Times New Roman" w:hAnsi="Times New Roman" w:cs="Times New Roman"/>
                <w:sz w:val="20"/>
                <w:szCs w:val="20"/>
              </w:rPr>
              <w:t xml:space="preserve"> podawany jest w monoterapii;</w:t>
            </w:r>
          </w:p>
          <w:p w14:paraId="7051A90A" w14:textId="10790431" w:rsidR="000E2051" w:rsidRPr="0080193D" w:rsidRDefault="002135F6" w:rsidP="00085364">
            <w:pPr>
              <w:pStyle w:val="Akapitzlist"/>
              <w:numPr>
                <w:ilvl w:val="3"/>
                <w:numId w:val="35"/>
              </w:numPr>
              <w:contextualSpacing w:val="0"/>
              <w:rPr>
                <w:rFonts w:ascii="Times New Roman" w:hAnsi="Times New Roman" w:cs="Times New Roman"/>
                <w:sz w:val="20"/>
                <w:szCs w:val="20"/>
              </w:rPr>
            </w:pPr>
            <w:proofErr w:type="spellStart"/>
            <w:r w:rsidRPr="0080193D">
              <w:rPr>
                <w:rFonts w:ascii="Times New Roman" w:hAnsi="Times New Roman" w:cs="Times New Roman"/>
                <w:i/>
                <w:iCs/>
                <w:sz w:val="20"/>
                <w:szCs w:val="20"/>
              </w:rPr>
              <w:t>wenetoklaksem</w:t>
            </w:r>
            <w:proofErr w:type="spellEnd"/>
            <w:r w:rsidRPr="0080193D">
              <w:rPr>
                <w:rFonts w:ascii="Times New Roman" w:hAnsi="Times New Roman" w:cs="Times New Roman"/>
                <w:i/>
                <w:iCs/>
                <w:sz w:val="20"/>
                <w:szCs w:val="20"/>
              </w:rPr>
              <w:t xml:space="preserve"> w skojarzeniu z </w:t>
            </w:r>
            <w:proofErr w:type="spellStart"/>
            <w:r w:rsidRPr="0080193D">
              <w:rPr>
                <w:rFonts w:ascii="Times New Roman" w:hAnsi="Times New Roman" w:cs="Times New Roman"/>
                <w:i/>
                <w:iCs/>
                <w:sz w:val="20"/>
                <w:szCs w:val="20"/>
              </w:rPr>
              <w:t>rytuksymabem</w:t>
            </w:r>
            <w:proofErr w:type="spellEnd"/>
            <w:r w:rsidRPr="0080193D">
              <w:rPr>
                <w:rFonts w:ascii="Times New Roman" w:hAnsi="Times New Roman" w:cs="Times New Roman"/>
                <w:i/>
                <w:iCs/>
                <w:sz w:val="20"/>
                <w:szCs w:val="20"/>
              </w:rPr>
              <w:t xml:space="preserve"> –</w:t>
            </w:r>
            <w:r w:rsidRPr="0080193D">
              <w:rPr>
                <w:rFonts w:ascii="Times New Roman" w:hAnsi="Times New Roman" w:cs="Times New Roman"/>
                <w:sz w:val="20"/>
                <w:szCs w:val="20"/>
              </w:rPr>
              <w:t xml:space="preserve"> leczenie trwa maksymalnie do 24 miesięcy </w:t>
            </w:r>
            <w:r w:rsidR="00AD1594" w:rsidRPr="0080193D">
              <w:rPr>
                <w:rFonts w:ascii="Times New Roman" w:hAnsi="Times New Roman" w:cs="Times New Roman"/>
                <w:sz w:val="20"/>
                <w:szCs w:val="20"/>
              </w:rPr>
              <w:t xml:space="preserve">licząc od jednoczesnego podania dawki 400 mg </w:t>
            </w:r>
            <w:proofErr w:type="spellStart"/>
            <w:r w:rsidR="00AD1594" w:rsidRPr="0080193D">
              <w:rPr>
                <w:rFonts w:ascii="Times New Roman" w:hAnsi="Times New Roman" w:cs="Times New Roman"/>
                <w:sz w:val="20"/>
                <w:szCs w:val="20"/>
              </w:rPr>
              <w:t>wenetoklaksu</w:t>
            </w:r>
            <w:proofErr w:type="spellEnd"/>
            <w:r w:rsidR="00AD1594" w:rsidRPr="0080193D">
              <w:rPr>
                <w:rFonts w:ascii="Times New Roman" w:hAnsi="Times New Roman" w:cs="Times New Roman"/>
                <w:sz w:val="20"/>
                <w:szCs w:val="20"/>
              </w:rPr>
              <w:t xml:space="preserve"> i podania </w:t>
            </w:r>
            <w:proofErr w:type="spellStart"/>
            <w:r w:rsidR="00AD1594" w:rsidRPr="0080193D">
              <w:rPr>
                <w:rFonts w:ascii="Times New Roman" w:hAnsi="Times New Roman" w:cs="Times New Roman"/>
                <w:sz w:val="20"/>
                <w:szCs w:val="20"/>
              </w:rPr>
              <w:t>rytuksymabu</w:t>
            </w:r>
            <w:proofErr w:type="spellEnd"/>
            <w:r w:rsidR="00AD1594" w:rsidRPr="0080193D">
              <w:rPr>
                <w:rFonts w:ascii="Times New Roman" w:hAnsi="Times New Roman" w:cs="Times New Roman"/>
                <w:sz w:val="20"/>
                <w:szCs w:val="20"/>
              </w:rPr>
              <w:t xml:space="preserve"> w 1. dniu 1. </w:t>
            </w:r>
            <w:r w:rsidR="00101993" w:rsidRPr="0080193D">
              <w:rPr>
                <w:rFonts w:ascii="Times New Roman" w:hAnsi="Times New Roman" w:cs="Times New Roman"/>
                <w:sz w:val="20"/>
                <w:szCs w:val="20"/>
              </w:rPr>
              <w:t>c</w:t>
            </w:r>
            <w:r w:rsidR="00AD1594" w:rsidRPr="0080193D">
              <w:rPr>
                <w:rFonts w:ascii="Times New Roman" w:hAnsi="Times New Roman" w:cs="Times New Roman"/>
                <w:sz w:val="20"/>
                <w:szCs w:val="20"/>
              </w:rPr>
              <w:t>yklu</w:t>
            </w:r>
            <w:r w:rsidR="00101993" w:rsidRPr="0080193D">
              <w:rPr>
                <w:rFonts w:ascii="Times New Roman" w:hAnsi="Times New Roman" w:cs="Times New Roman"/>
                <w:sz w:val="20"/>
                <w:szCs w:val="20"/>
              </w:rPr>
              <w:t xml:space="preserve">, przy czym </w:t>
            </w:r>
            <w:proofErr w:type="spellStart"/>
            <w:r w:rsidR="00101993" w:rsidRPr="0080193D">
              <w:rPr>
                <w:rFonts w:ascii="Times New Roman" w:hAnsi="Times New Roman" w:cs="Times New Roman"/>
                <w:sz w:val="20"/>
                <w:szCs w:val="20"/>
              </w:rPr>
              <w:t>rytu</w:t>
            </w:r>
            <w:r w:rsidR="00F861C3" w:rsidRPr="0080193D">
              <w:rPr>
                <w:rFonts w:ascii="Times New Roman" w:hAnsi="Times New Roman" w:cs="Times New Roman"/>
                <w:sz w:val="20"/>
                <w:szCs w:val="20"/>
              </w:rPr>
              <w:t>ks</w:t>
            </w:r>
            <w:r w:rsidR="00101993" w:rsidRPr="0080193D">
              <w:rPr>
                <w:rFonts w:ascii="Times New Roman" w:hAnsi="Times New Roman" w:cs="Times New Roman"/>
                <w:sz w:val="20"/>
                <w:szCs w:val="20"/>
              </w:rPr>
              <w:t>ymab</w:t>
            </w:r>
            <w:proofErr w:type="spellEnd"/>
            <w:r w:rsidR="00101993" w:rsidRPr="0080193D">
              <w:rPr>
                <w:rFonts w:ascii="Times New Roman" w:hAnsi="Times New Roman" w:cs="Times New Roman"/>
                <w:sz w:val="20"/>
                <w:szCs w:val="20"/>
              </w:rPr>
              <w:t xml:space="preserve"> stosowany jest przez 6 cykli.</w:t>
            </w:r>
          </w:p>
          <w:p w14:paraId="46B28FCA" w14:textId="77777777" w:rsidR="000E2051" w:rsidRPr="0080193D" w:rsidRDefault="000E2051" w:rsidP="0080193D">
            <w:pPr>
              <w:ind w:left="227"/>
              <w:rPr>
                <w:rFonts w:ascii="Times New Roman" w:eastAsia="Times New Roman" w:hAnsi="Times New Roman" w:cs="Times New Roman"/>
                <w:b/>
                <w:bCs/>
                <w:sz w:val="20"/>
                <w:szCs w:val="20"/>
                <w:lang w:eastAsia="pl-PL"/>
              </w:rPr>
            </w:pPr>
          </w:p>
          <w:p w14:paraId="7CDA0C70" w14:textId="1A7921F6" w:rsidR="00C37C7F" w:rsidRPr="0080193D" w:rsidRDefault="009C2DB3" w:rsidP="00C81D3A">
            <w:pPr>
              <w:pStyle w:val="Akapitzlist"/>
              <w:numPr>
                <w:ilvl w:val="0"/>
                <w:numId w:val="35"/>
              </w:numPr>
              <w:contextualSpacing w:val="0"/>
              <w:rPr>
                <w:rFonts w:ascii="Times New Roman" w:hAnsi="Times New Roman" w:cs="Times New Roman"/>
                <w:sz w:val="20"/>
                <w:szCs w:val="20"/>
              </w:rPr>
            </w:pPr>
            <w:r w:rsidRPr="0080193D">
              <w:rPr>
                <w:rFonts w:ascii="Times New Roman" w:eastAsia="Times New Roman" w:hAnsi="Times New Roman" w:cs="Times New Roman"/>
                <w:b/>
                <w:bCs/>
                <w:sz w:val="20"/>
                <w:szCs w:val="20"/>
                <w:lang w:eastAsia="pl-PL"/>
              </w:rPr>
              <w:t>Kryteria</w:t>
            </w:r>
            <w:r w:rsidR="00025874" w:rsidRPr="0080193D">
              <w:rPr>
                <w:rFonts w:ascii="Times New Roman" w:eastAsia="Times New Roman" w:hAnsi="Times New Roman" w:cs="Times New Roman"/>
                <w:b/>
                <w:bCs/>
                <w:sz w:val="20"/>
                <w:szCs w:val="20"/>
                <w:lang w:eastAsia="pl-PL"/>
              </w:rPr>
              <w:t xml:space="preserve"> </w:t>
            </w:r>
            <w:r w:rsidR="00BE0215" w:rsidRPr="0080193D">
              <w:rPr>
                <w:rFonts w:ascii="Times New Roman" w:eastAsia="Times New Roman" w:hAnsi="Times New Roman" w:cs="Times New Roman"/>
                <w:b/>
                <w:bCs/>
                <w:sz w:val="20"/>
                <w:szCs w:val="20"/>
                <w:lang w:eastAsia="pl-PL"/>
              </w:rPr>
              <w:t>wyłączenia z</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program</w:t>
            </w:r>
            <w:r w:rsidR="00BE0215" w:rsidRPr="0080193D">
              <w:rPr>
                <w:rFonts w:ascii="Times New Roman" w:eastAsia="Times New Roman" w:hAnsi="Times New Roman" w:cs="Times New Roman"/>
                <w:b/>
                <w:bCs/>
                <w:sz w:val="20"/>
                <w:szCs w:val="20"/>
                <w:lang w:eastAsia="pl-PL"/>
              </w:rPr>
              <w:t>u</w:t>
            </w:r>
          </w:p>
          <w:p w14:paraId="131A8C27" w14:textId="5A920627" w:rsidR="007415B0" w:rsidRPr="0080193D" w:rsidRDefault="00DD660E"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progresja</w:t>
            </w:r>
            <w:r w:rsidR="00025874" w:rsidRPr="0080193D">
              <w:rPr>
                <w:rFonts w:ascii="Times New Roman" w:hAnsi="Times New Roman" w:cs="Times New Roman"/>
                <w:sz w:val="20"/>
                <w:szCs w:val="20"/>
              </w:rPr>
              <w:t xml:space="preserve"> </w:t>
            </w:r>
            <w:r w:rsidR="00DC1C94" w:rsidRPr="0080193D">
              <w:rPr>
                <w:rFonts w:ascii="Times New Roman" w:hAnsi="Times New Roman" w:cs="Times New Roman"/>
                <w:sz w:val="20"/>
                <w:szCs w:val="20"/>
              </w:rPr>
              <w:t xml:space="preserve">choroby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trakcie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leczenia</w:t>
            </w:r>
            <w:r w:rsidR="00DC1C94" w:rsidRPr="0080193D">
              <w:rPr>
                <w:rFonts w:ascii="Times New Roman" w:hAnsi="Times New Roman" w:cs="Times New Roman"/>
                <w:sz w:val="20"/>
                <w:szCs w:val="20"/>
              </w:rPr>
              <w:t>, w tym transformacja do bardziej agresywnego chłoniaka;</w:t>
            </w:r>
          </w:p>
          <w:p w14:paraId="46BFEF0C" w14:textId="5AE9FB11"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wystąpienie objawów nadwrażliwości na którykolwiek ze stosowanych leków lub na białka mysie lub na którąkolwiek substancję pomocniczą leku; </w:t>
            </w:r>
          </w:p>
          <w:p w14:paraId="4C4287BC" w14:textId="28CF6310"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stwierdzenie nieakceptowalnej toksyczności pomimo zastosowania zaleceń dotyczących modyfikacji dawkowania zgodnie z </w:t>
            </w:r>
            <w:r w:rsidRPr="0080193D">
              <w:rPr>
                <w:rFonts w:ascii="Times New Roman" w:eastAsia="Times New Roman" w:hAnsi="Times New Roman" w:cs="Times New Roman"/>
                <w:sz w:val="20"/>
                <w:szCs w:val="20"/>
                <w:lang w:eastAsia="pl-PL"/>
              </w:rPr>
              <w:t>zaleceniami odpowiedniej, aktualnej na dzień wydania decyzji Charakterystyki Produktu Leczniczego;</w:t>
            </w:r>
          </w:p>
          <w:p w14:paraId="221417B1" w14:textId="6911B648" w:rsidR="009C6E48" w:rsidRPr="0080193D" w:rsidRDefault="003F0B59"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wystąpienie postępującej wieloogniskowej leukoencefalopatii lub ciężkich reakcji skórnych (toksyczna nekroliza naskórka, zespół Stevensa </w:t>
            </w:r>
            <w:proofErr w:type="spellStart"/>
            <w:r w:rsidRPr="0080193D">
              <w:rPr>
                <w:rFonts w:ascii="Times New Roman" w:hAnsi="Times New Roman" w:cs="Times New Roman"/>
                <w:sz w:val="20"/>
                <w:szCs w:val="20"/>
              </w:rPr>
              <w:t>Jonhsona</w:t>
            </w:r>
            <w:proofErr w:type="spellEnd"/>
            <w:r w:rsidRPr="0080193D">
              <w:rPr>
                <w:rFonts w:ascii="Times New Roman" w:hAnsi="Times New Roman" w:cs="Times New Roman"/>
                <w:sz w:val="20"/>
                <w:szCs w:val="20"/>
              </w:rPr>
              <w:t>)</w:t>
            </w:r>
            <w:r w:rsidR="00495252" w:rsidRPr="0080193D">
              <w:rPr>
                <w:rFonts w:ascii="Times New Roman" w:hAnsi="Times New Roman" w:cs="Times New Roman"/>
                <w:sz w:val="20"/>
                <w:szCs w:val="20"/>
              </w:rPr>
              <w:t xml:space="preserve"> – w </w:t>
            </w:r>
            <w:r w:rsidR="009C6E48" w:rsidRPr="0080193D">
              <w:rPr>
                <w:rFonts w:ascii="Times New Roman" w:hAnsi="Times New Roman" w:cs="Times New Roman"/>
                <w:sz w:val="20"/>
                <w:szCs w:val="20"/>
              </w:rPr>
              <w:t>przypadku terapii</w:t>
            </w:r>
            <w:r w:rsidRPr="0080193D">
              <w:rPr>
                <w:rFonts w:ascii="Times New Roman" w:hAnsi="Times New Roman" w:cs="Times New Roman"/>
                <w:sz w:val="20"/>
                <w:szCs w:val="20"/>
              </w:rPr>
              <w:t xml:space="preserve"> </w:t>
            </w:r>
            <w:proofErr w:type="spellStart"/>
            <w:r w:rsidRPr="0080193D">
              <w:rPr>
                <w:rFonts w:ascii="Times New Roman" w:hAnsi="Times New Roman" w:cs="Times New Roman"/>
                <w:sz w:val="20"/>
                <w:szCs w:val="20"/>
              </w:rPr>
              <w:t>wenetoklaksem</w:t>
            </w:r>
            <w:proofErr w:type="spellEnd"/>
            <w:r w:rsidRPr="0080193D">
              <w:rPr>
                <w:rFonts w:ascii="Times New Roman" w:hAnsi="Times New Roman" w:cs="Times New Roman"/>
                <w:sz w:val="20"/>
                <w:szCs w:val="20"/>
              </w:rPr>
              <w:t xml:space="preserve"> w połączeniu z przeciwciałem </w:t>
            </w:r>
            <w:r w:rsidR="00495252" w:rsidRPr="0080193D">
              <w:rPr>
                <w:rFonts w:ascii="Times New Roman" w:hAnsi="Times New Roman" w:cs="Times New Roman"/>
                <w:sz w:val="20"/>
                <w:szCs w:val="20"/>
              </w:rPr>
              <w:br/>
            </w:r>
            <w:r w:rsidRPr="0080193D">
              <w:rPr>
                <w:rFonts w:ascii="Times New Roman" w:hAnsi="Times New Roman" w:cs="Times New Roman"/>
                <w:sz w:val="20"/>
                <w:szCs w:val="20"/>
              </w:rPr>
              <w:t>an</w:t>
            </w:r>
            <w:r w:rsidR="00F84FB3" w:rsidRPr="0080193D">
              <w:rPr>
                <w:rFonts w:ascii="Times New Roman" w:hAnsi="Times New Roman" w:cs="Times New Roman"/>
                <w:sz w:val="20"/>
                <w:szCs w:val="20"/>
              </w:rPr>
              <w:t>ty-CD20</w:t>
            </w:r>
            <w:r w:rsidR="009C6E48" w:rsidRPr="0080193D">
              <w:rPr>
                <w:rFonts w:ascii="Times New Roman" w:hAnsi="Times New Roman" w:cs="Times New Roman"/>
                <w:sz w:val="20"/>
                <w:szCs w:val="20"/>
              </w:rPr>
              <w:t>;</w:t>
            </w:r>
          </w:p>
          <w:p w14:paraId="371823D8" w14:textId="4AC9E3FD" w:rsidR="003F0B59" w:rsidRPr="0080193D" w:rsidRDefault="00F84FB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 xml:space="preserve">wystąpienie niekontrolowanej autoimmunologicznej anemii hemolitycznej lub immunologicznej trombocytopenii </w:t>
            </w:r>
            <w:r w:rsidR="009C6E48" w:rsidRPr="0080193D">
              <w:rPr>
                <w:rFonts w:ascii="Times New Roman" w:hAnsi="Times New Roman" w:cs="Times New Roman"/>
                <w:sz w:val="20"/>
                <w:szCs w:val="20"/>
              </w:rPr>
              <w:t>– w przypadku</w:t>
            </w:r>
            <w:r w:rsidR="007E08AD">
              <w:rPr>
                <w:rFonts w:ascii="Times New Roman" w:hAnsi="Times New Roman" w:cs="Times New Roman"/>
                <w:sz w:val="20"/>
                <w:szCs w:val="20"/>
              </w:rPr>
              <w:t xml:space="preserve"> </w:t>
            </w:r>
            <w:r w:rsidR="009C6E48" w:rsidRPr="0080193D">
              <w:rPr>
                <w:rFonts w:ascii="Times New Roman" w:hAnsi="Times New Roman" w:cs="Times New Roman"/>
                <w:sz w:val="20"/>
                <w:szCs w:val="20"/>
              </w:rPr>
              <w:t xml:space="preserve">terapii </w:t>
            </w:r>
            <w:proofErr w:type="spellStart"/>
            <w:r w:rsidRPr="0080193D">
              <w:rPr>
                <w:rFonts w:ascii="Times New Roman" w:hAnsi="Times New Roman" w:cs="Times New Roman"/>
                <w:i/>
                <w:iCs/>
                <w:sz w:val="20"/>
                <w:szCs w:val="20"/>
              </w:rPr>
              <w:t>wenetoklaksem</w:t>
            </w:r>
            <w:proofErr w:type="spellEnd"/>
            <w:r w:rsidR="009C6E48" w:rsidRPr="0080193D">
              <w:rPr>
                <w:rFonts w:ascii="Times New Roman" w:hAnsi="Times New Roman" w:cs="Times New Roman"/>
                <w:i/>
                <w:iCs/>
                <w:sz w:val="20"/>
                <w:szCs w:val="20"/>
              </w:rPr>
              <w:t xml:space="preserve"> w </w:t>
            </w:r>
            <w:proofErr w:type="spellStart"/>
            <w:r w:rsidR="009C6E48" w:rsidRPr="0080193D">
              <w:rPr>
                <w:rFonts w:ascii="Times New Roman" w:hAnsi="Times New Roman" w:cs="Times New Roman"/>
                <w:i/>
                <w:iCs/>
                <w:sz w:val="20"/>
                <w:szCs w:val="20"/>
              </w:rPr>
              <w:t>monoter</w:t>
            </w:r>
            <w:r w:rsidR="00495252" w:rsidRPr="0080193D">
              <w:rPr>
                <w:rFonts w:ascii="Times New Roman" w:hAnsi="Times New Roman" w:cs="Times New Roman"/>
                <w:i/>
                <w:iCs/>
                <w:sz w:val="20"/>
                <w:szCs w:val="20"/>
              </w:rPr>
              <w:t>a</w:t>
            </w:r>
            <w:r w:rsidR="009C6E48" w:rsidRPr="0080193D">
              <w:rPr>
                <w:rFonts w:ascii="Times New Roman" w:hAnsi="Times New Roman" w:cs="Times New Roman"/>
                <w:i/>
                <w:iCs/>
                <w:sz w:val="20"/>
                <w:szCs w:val="20"/>
              </w:rPr>
              <w:t>pii</w:t>
            </w:r>
            <w:proofErr w:type="spellEnd"/>
            <w:r w:rsidRPr="0080193D">
              <w:rPr>
                <w:rFonts w:ascii="Times New Roman" w:hAnsi="Times New Roman" w:cs="Times New Roman"/>
                <w:sz w:val="20"/>
                <w:szCs w:val="20"/>
              </w:rPr>
              <w:t xml:space="preserve"> lub </w:t>
            </w:r>
            <w:proofErr w:type="spellStart"/>
            <w:r w:rsidRPr="0080193D">
              <w:rPr>
                <w:rFonts w:ascii="Times New Roman" w:hAnsi="Times New Roman" w:cs="Times New Roman"/>
                <w:sz w:val="20"/>
                <w:szCs w:val="20"/>
              </w:rPr>
              <w:t>wenetoklaksem</w:t>
            </w:r>
            <w:proofErr w:type="spellEnd"/>
            <w:r w:rsidRPr="0080193D">
              <w:rPr>
                <w:rFonts w:ascii="Times New Roman" w:hAnsi="Times New Roman" w:cs="Times New Roman"/>
                <w:sz w:val="20"/>
                <w:szCs w:val="20"/>
              </w:rPr>
              <w:t xml:space="preserve"> w połączeniu z przeciwciałem anty-CD20</w:t>
            </w:r>
            <w:r w:rsidR="009C6E48" w:rsidRPr="0080193D">
              <w:rPr>
                <w:rFonts w:ascii="Times New Roman" w:hAnsi="Times New Roman" w:cs="Times New Roman"/>
                <w:sz w:val="20"/>
                <w:szCs w:val="20"/>
              </w:rPr>
              <w:t>;</w:t>
            </w:r>
          </w:p>
          <w:p w14:paraId="2F5E121C" w14:textId="77777777"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ciąża lub karmienie piersią;</w:t>
            </w:r>
          </w:p>
          <w:p w14:paraId="46E99BB5" w14:textId="77777777"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rezygnacja pacjenta;</w:t>
            </w:r>
          </w:p>
          <w:p w14:paraId="2397EFF0" w14:textId="3C6917E0" w:rsidR="00C6561F" w:rsidRPr="0080193D" w:rsidRDefault="00F51EAD"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pogorszenie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stanu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pacjenta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istotnym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znaczeniu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według</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oceny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lekarza</w:t>
            </w:r>
            <w:r w:rsidR="00300220" w:rsidRPr="0080193D">
              <w:rPr>
                <w:rFonts w:ascii="Times New Roman" w:hAnsi="Times New Roman" w:cs="Times New Roman"/>
                <w:sz w:val="20"/>
                <w:szCs w:val="20"/>
              </w:rPr>
              <w:t>.</w:t>
            </w:r>
          </w:p>
          <w:p w14:paraId="5A343931" w14:textId="7102C0A0" w:rsidR="00842007" w:rsidRPr="0080193D" w:rsidRDefault="00842007" w:rsidP="0080193D">
            <w:pPr>
              <w:rPr>
                <w:rFonts w:ascii="Times New Roman" w:hAnsi="Times New Roman" w:cs="Times New Roman"/>
                <w:sz w:val="20"/>
                <w:szCs w:val="20"/>
              </w:rPr>
            </w:pPr>
          </w:p>
        </w:tc>
        <w:tc>
          <w:tcPr>
            <w:tcW w:w="4293" w:type="dxa"/>
          </w:tcPr>
          <w:p w14:paraId="1C4F671D" w14:textId="0D038BB3" w:rsidR="00871857" w:rsidRPr="0080193D" w:rsidRDefault="00F5640E" w:rsidP="00B97F65">
            <w:pPr>
              <w:pStyle w:val="Akapitzlist"/>
              <w:numPr>
                <w:ilvl w:val="0"/>
                <w:numId w:val="36"/>
              </w:numPr>
              <w:autoSpaceDE w:val="0"/>
              <w:autoSpaceDN w:val="0"/>
              <w:adjustRightInd w:val="0"/>
              <w:spacing w:before="120"/>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lastRenderedPageBreak/>
              <w:t>Dawkowanie</w:t>
            </w:r>
            <w:r w:rsidR="00AE6812" w:rsidRPr="0080193D">
              <w:rPr>
                <w:rFonts w:ascii="Times New Roman" w:eastAsia="Times New Roman" w:hAnsi="Times New Roman" w:cs="Times New Roman"/>
                <w:b/>
                <w:bCs/>
                <w:sz w:val="20"/>
                <w:szCs w:val="20"/>
                <w:lang w:eastAsia="pl-PL"/>
              </w:rPr>
              <w:t>:</w:t>
            </w:r>
            <w:r w:rsidR="00025874" w:rsidRPr="0080193D">
              <w:rPr>
                <w:rFonts w:ascii="Times New Roman" w:eastAsia="Times New Roman" w:hAnsi="Times New Roman" w:cs="Times New Roman"/>
                <w:b/>
                <w:bCs/>
                <w:sz w:val="20"/>
                <w:szCs w:val="20"/>
                <w:lang w:eastAsia="pl-PL"/>
              </w:rPr>
              <w:t xml:space="preserve"> </w:t>
            </w:r>
          </w:p>
          <w:p w14:paraId="5960374D" w14:textId="77F04E3A"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ibrutynib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p>
          <w:p w14:paraId="1CD3D62B" w14:textId="5BCF7725" w:rsidR="005C3FE9" w:rsidRPr="00B97F65" w:rsidRDefault="005C3FE9"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rPr>
              <w:t xml:space="preserve">Zalecana dawka </w:t>
            </w:r>
            <w:proofErr w:type="spellStart"/>
            <w:r w:rsidRPr="00B97F65">
              <w:rPr>
                <w:rFonts w:ascii="Times New Roman" w:hAnsi="Times New Roman" w:cs="Times New Roman"/>
                <w:sz w:val="20"/>
                <w:szCs w:val="20"/>
              </w:rPr>
              <w:t>ibrutynibu</w:t>
            </w:r>
            <w:proofErr w:type="spellEnd"/>
            <w:r w:rsidRPr="00B97F65">
              <w:rPr>
                <w:rFonts w:ascii="Times New Roman" w:hAnsi="Times New Roman" w:cs="Times New Roman"/>
                <w:sz w:val="20"/>
                <w:szCs w:val="20"/>
              </w:rPr>
              <w:t xml:space="preserve"> </w:t>
            </w:r>
            <w:r w:rsidR="00CA786A" w:rsidRPr="00B97F65">
              <w:rPr>
                <w:rFonts w:ascii="Times New Roman" w:hAnsi="Times New Roman" w:cs="Times New Roman"/>
                <w:sz w:val="20"/>
                <w:szCs w:val="20"/>
              </w:rPr>
              <w:t>wynosi</w:t>
            </w:r>
            <w:r w:rsidRPr="00B97F65">
              <w:rPr>
                <w:rFonts w:ascii="Times New Roman" w:hAnsi="Times New Roman" w:cs="Times New Roman"/>
                <w:sz w:val="20"/>
                <w:szCs w:val="20"/>
              </w:rPr>
              <w:t xml:space="preserve"> 420 mg podawan</w:t>
            </w:r>
            <w:r w:rsidR="00CA786A" w:rsidRPr="00B97F65">
              <w:rPr>
                <w:rFonts w:ascii="Times New Roman" w:hAnsi="Times New Roman" w:cs="Times New Roman"/>
                <w:sz w:val="20"/>
                <w:szCs w:val="20"/>
              </w:rPr>
              <w:t>a</w:t>
            </w:r>
            <w:r w:rsidRPr="00B97F65">
              <w:rPr>
                <w:rFonts w:ascii="Times New Roman" w:hAnsi="Times New Roman" w:cs="Times New Roman"/>
                <w:sz w:val="20"/>
                <w:szCs w:val="20"/>
              </w:rPr>
              <w:t xml:space="preserve"> 1 raz na dobę.</w:t>
            </w:r>
          </w:p>
          <w:p w14:paraId="3A0E87C6" w14:textId="77777777" w:rsidR="005C3FE9" w:rsidRPr="0080193D" w:rsidRDefault="005C3FE9" w:rsidP="0080193D">
            <w:pPr>
              <w:rPr>
                <w:rFonts w:ascii="Times New Roman" w:eastAsia="Times New Roman" w:hAnsi="Times New Roman" w:cs="Times New Roman"/>
                <w:i/>
                <w:iCs/>
                <w:color w:val="000000"/>
                <w:sz w:val="20"/>
                <w:szCs w:val="20"/>
                <w:lang w:eastAsia="pl-PL"/>
              </w:rPr>
            </w:pPr>
          </w:p>
          <w:p w14:paraId="1BFFD26B" w14:textId="58F60F83"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akalabrutynib</w:t>
            </w:r>
            <w:proofErr w:type="spellEnd"/>
            <w:r w:rsidRPr="0080193D">
              <w:rPr>
                <w:rFonts w:ascii="Times New Roman" w:eastAsia="Times New Roman" w:hAnsi="Times New Roman" w:cs="Times New Roman"/>
                <w:b/>
                <w:bCs/>
                <w:i/>
                <w:iCs/>
                <w:color w:val="000000"/>
                <w:sz w:val="20"/>
                <w:szCs w:val="20"/>
                <w:lang w:eastAsia="pl-PL"/>
              </w:rPr>
              <w:t xml:space="preserve"> w </w:t>
            </w:r>
            <w:proofErr w:type="spellStart"/>
            <w:r w:rsidRPr="0080193D">
              <w:rPr>
                <w:rFonts w:ascii="Times New Roman" w:eastAsia="Times New Roman" w:hAnsi="Times New Roman" w:cs="Times New Roman"/>
                <w:b/>
                <w:bCs/>
                <w:i/>
                <w:iCs/>
                <w:color w:val="000000"/>
                <w:sz w:val="20"/>
                <w:szCs w:val="20"/>
                <w:lang w:eastAsia="pl-PL"/>
              </w:rPr>
              <w:t>monoterapii</w:t>
            </w:r>
            <w:proofErr w:type="spellEnd"/>
          </w:p>
          <w:p w14:paraId="7F4634E0" w14:textId="7487CE62" w:rsidR="00142FE4" w:rsidRPr="00B97F65" w:rsidRDefault="00142FE4" w:rsidP="00B97F65">
            <w:pPr>
              <w:rPr>
                <w:rFonts w:ascii="Times New Roman" w:eastAsia="Times New Roman" w:hAnsi="Times New Roman" w:cs="Times New Roman"/>
                <w:color w:val="000000"/>
                <w:sz w:val="20"/>
                <w:szCs w:val="20"/>
                <w:lang w:eastAsia="pl-PL"/>
              </w:rPr>
            </w:pPr>
            <w:r w:rsidRPr="00B97F65">
              <w:rPr>
                <w:rFonts w:ascii="Times New Roman" w:eastAsia="Times New Roman" w:hAnsi="Times New Roman" w:cs="Times New Roman"/>
                <w:color w:val="000000"/>
                <w:sz w:val="20"/>
                <w:szCs w:val="20"/>
                <w:lang w:eastAsia="pl-PL"/>
              </w:rPr>
              <w:t xml:space="preserve">Zalecana dawka </w:t>
            </w:r>
            <w:proofErr w:type="spellStart"/>
            <w:r w:rsidRPr="00B97F65">
              <w:rPr>
                <w:rFonts w:ascii="Times New Roman" w:eastAsia="Times New Roman" w:hAnsi="Times New Roman" w:cs="Times New Roman"/>
                <w:color w:val="000000"/>
                <w:sz w:val="20"/>
                <w:szCs w:val="20"/>
                <w:lang w:eastAsia="pl-PL"/>
              </w:rPr>
              <w:t>akalabrutynibu</w:t>
            </w:r>
            <w:proofErr w:type="spellEnd"/>
            <w:r w:rsidRPr="00B97F65">
              <w:rPr>
                <w:rFonts w:ascii="Times New Roman" w:eastAsia="Times New Roman" w:hAnsi="Times New Roman" w:cs="Times New Roman"/>
                <w:color w:val="000000"/>
                <w:sz w:val="20"/>
                <w:szCs w:val="20"/>
                <w:lang w:eastAsia="pl-PL"/>
              </w:rPr>
              <w:t xml:space="preserve"> wynosi 100 mg podawan</w:t>
            </w:r>
            <w:r w:rsidR="00CA786A" w:rsidRPr="00B97F65">
              <w:rPr>
                <w:rFonts w:ascii="Times New Roman" w:eastAsia="Times New Roman" w:hAnsi="Times New Roman" w:cs="Times New Roman"/>
                <w:color w:val="000000"/>
                <w:sz w:val="20"/>
                <w:szCs w:val="20"/>
                <w:lang w:eastAsia="pl-PL"/>
              </w:rPr>
              <w:t>a</w:t>
            </w:r>
            <w:r w:rsidRPr="00B97F65">
              <w:rPr>
                <w:rFonts w:ascii="Times New Roman" w:eastAsia="Times New Roman" w:hAnsi="Times New Roman" w:cs="Times New Roman"/>
                <w:color w:val="000000"/>
                <w:sz w:val="20"/>
                <w:szCs w:val="20"/>
                <w:lang w:eastAsia="pl-PL"/>
              </w:rPr>
              <w:t xml:space="preserve"> dwa razy na dobę (co odpowiada całkowitej dawce dobowej 200 mg). </w:t>
            </w:r>
          </w:p>
          <w:p w14:paraId="0D58E6B6" w14:textId="3C865EBF" w:rsidR="00142FE4" w:rsidRPr="00B97F65" w:rsidRDefault="00142FE4" w:rsidP="00B97F65">
            <w:pPr>
              <w:rPr>
                <w:rFonts w:ascii="Times New Roman" w:eastAsia="Times New Roman" w:hAnsi="Times New Roman" w:cs="Times New Roman"/>
                <w:color w:val="000000"/>
                <w:sz w:val="20"/>
                <w:szCs w:val="20"/>
                <w:lang w:eastAsia="pl-PL"/>
              </w:rPr>
            </w:pPr>
            <w:r w:rsidRPr="00B97F65">
              <w:rPr>
                <w:rFonts w:ascii="Times New Roman" w:eastAsia="Times New Roman" w:hAnsi="Times New Roman" w:cs="Times New Roman"/>
                <w:color w:val="000000"/>
                <w:sz w:val="20"/>
                <w:szCs w:val="20"/>
                <w:lang w:eastAsia="pl-PL"/>
              </w:rPr>
              <w:t xml:space="preserve">Odstęp pomiędzy kolejnymi dawkami </w:t>
            </w:r>
            <w:r w:rsidR="00AE2D87" w:rsidRPr="00B97F65">
              <w:rPr>
                <w:rFonts w:ascii="Times New Roman" w:eastAsia="Times New Roman" w:hAnsi="Times New Roman" w:cs="Times New Roman"/>
                <w:color w:val="000000"/>
                <w:sz w:val="20"/>
                <w:szCs w:val="20"/>
                <w:lang w:eastAsia="pl-PL"/>
              </w:rPr>
              <w:t xml:space="preserve">powinien </w:t>
            </w:r>
            <w:r w:rsidRPr="00B97F65">
              <w:rPr>
                <w:rFonts w:ascii="Times New Roman" w:eastAsia="Times New Roman" w:hAnsi="Times New Roman" w:cs="Times New Roman"/>
                <w:color w:val="000000"/>
                <w:sz w:val="20"/>
                <w:szCs w:val="20"/>
                <w:lang w:eastAsia="pl-PL"/>
              </w:rPr>
              <w:t>wynosi</w:t>
            </w:r>
            <w:r w:rsidR="00AE2D87" w:rsidRPr="00B97F65">
              <w:rPr>
                <w:rFonts w:ascii="Times New Roman" w:eastAsia="Times New Roman" w:hAnsi="Times New Roman" w:cs="Times New Roman"/>
                <w:color w:val="000000"/>
                <w:sz w:val="20"/>
                <w:szCs w:val="20"/>
                <w:lang w:eastAsia="pl-PL"/>
              </w:rPr>
              <w:t>ć</w:t>
            </w:r>
            <w:r w:rsidRPr="00B97F65">
              <w:rPr>
                <w:rFonts w:ascii="Times New Roman" w:eastAsia="Times New Roman" w:hAnsi="Times New Roman" w:cs="Times New Roman"/>
                <w:color w:val="000000"/>
                <w:sz w:val="20"/>
                <w:szCs w:val="20"/>
                <w:lang w:eastAsia="pl-PL"/>
              </w:rPr>
              <w:t xml:space="preserve"> około 12 godzin.</w:t>
            </w:r>
          </w:p>
          <w:p w14:paraId="0EF5B1B0" w14:textId="77777777" w:rsidR="00142FE4" w:rsidRPr="0080193D" w:rsidRDefault="00142FE4" w:rsidP="0080193D">
            <w:pPr>
              <w:rPr>
                <w:rFonts w:ascii="Times New Roman" w:eastAsia="Times New Roman" w:hAnsi="Times New Roman" w:cs="Times New Roman"/>
                <w:color w:val="000000"/>
                <w:sz w:val="20"/>
                <w:szCs w:val="20"/>
                <w:lang w:eastAsia="pl-PL"/>
              </w:rPr>
            </w:pPr>
          </w:p>
          <w:p w14:paraId="26009B6E" w14:textId="72BE0BF3"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proofErr w:type="spellStart"/>
            <w:r w:rsidRPr="0080193D">
              <w:rPr>
                <w:rFonts w:ascii="Times New Roman" w:eastAsia="Times New Roman" w:hAnsi="Times New Roman" w:cs="Times New Roman"/>
                <w:b/>
                <w:bCs/>
                <w:i/>
                <w:iCs/>
                <w:color w:val="000000"/>
                <w:sz w:val="20"/>
                <w:szCs w:val="20"/>
                <w:lang w:eastAsia="pl-PL"/>
              </w:rPr>
              <w:t>obinutuzumab</w:t>
            </w:r>
            <w:proofErr w:type="spellEnd"/>
            <w:r w:rsidRPr="0080193D">
              <w:rPr>
                <w:rFonts w:ascii="Times New Roman" w:eastAsia="Times New Roman" w:hAnsi="Times New Roman" w:cs="Times New Roman"/>
                <w:b/>
                <w:bCs/>
                <w:i/>
                <w:iCs/>
                <w:color w:val="000000"/>
                <w:sz w:val="20"/>
                <w:szCs w:val="20"/>
                <w:lang w:eastAsia="pl-PL"/>
              </w:rPr>
              <w:t xml:space="preserve"> w skojarzeniu z </w:t>
            </w:r>
            <w:proofErr w:type="spellStart"/>
            <w:r w:rsidRPr="0080193D">
              <w:rPr>
                <w:rFonts w:ascii="Times New Roman" w:eastAsia="Times New Roman" w:hAnsi="Times New Roman" w:cs="Times New Roman"/>
                <w:b/>
                <w:bCs/>
                <w:i/>
                <w:iCs/>
                <w:color w:val="000000"/>
                <w:sz w:val="20"/>
                <w:szCs w:val="20"/>
                <w:lang w:eastAsia="pl-PL"/>
              </w:rPr>
              <w:t>chlorambucylem</w:t>
            </w:r>
            <w:proofErr w:type="spellEnd"/>
          </w:p>
          <w:p w14:paraId="1723310F" w14:textId="7FDD50AD" w:rsidR="005C3FE9" w:rsidRPr="00B97F65" w:rsidRDefault="005C3FE9" w:rsidP="00B97F65">
            <w:pPr>
              <w:autoSpaceDE w:val="0"/>
              <w:autoSpaceDN w:val="0"/>
              <w:adjustRightInd w:val="0"/>
              <w:rPr>
                <w:rFonts w:ascii="Times New Roman" w:eastAsia="Times New Roman" w:hAnsi="Times New Roman" w:cs="Times New Roman"/>
                <w:sz w:val="20"/>
                <w:szCs w:val="20"/>
                <w:lang w:eastAsia="pl-PL"/>
              </w:rPr>
            </w:pPr>
            <w:proofErr w:type="spellStart"/>
            <w:r w:rsidRPr="00B97F65">
              <w:rPr>
                <w:rFonts w:ascii="Times New Roman" w:eastAsia="Times New Roman" w:hAnsi="Times New Roman" w:cs="Times New Roman"/>
                <w:sz w:val="20"/>
                <w:szCs w:val="20"/>
                <w:u w:val="single"/>
                <w:lang w:eastAsia="pl-PL"/>
              </w:rPr>
              <w:t>Obinutuzumab</w:t>
            </w:r>
            <w:proofErr w:type="spellEnd"/>
            <w:r w:rsidRPr="00B97F65">
              <w:rPr>
                <w:rFonts w:ascii="Times New Roman" w:eastAsia="Times New Roman" w:hAnsi="Times New Roman" w:cs="Times New Roman"/>
                <w:sz w:val="20"/>
                <w:szCs w:val="20"/>
                <w:u w:val="single"/>
                <w:lang w:eastAsia="pl-PL"/>
              </w:rPr>
              <w:t xml:space="preserve"> w cyklu 1</w:t>
            </w:r>
            <w:r w:rsidRPr="00B97F65">
              <w:rPr>
                <w:rFonts w:ascii="Times New Roman" w:eastAsia="Times New Roman" w:hAnsi="Times New Roman" w:cs="Times New Roman"/>
                <w:sz w:val="20"/>
                <w:szCs w:val="20"/>
                <w:lang w:eastAsia="pl-PL"/>
              </w:rPr>
              <w:t xml:space="preserve">.: zalecana dawka to 1000 mg, w dniach 1., 2. (kontynuacja dnia 1.), 8. i 15. </w:t>
            </w:r>
            <w:r w:rsidR="001772EB" w:rsidRPr="00B97F65">
              <w:rPr>
                <w:rFonts w:ascii="Times New Roman" w:eastAsia="Times New Roman" w:hAnsi="Times New Roman" w:cs="Times New Roman"/>
                <w:sz w:val="20"/>
                <w:szCs w:val="20"/>
                <w:lang w:eastAsia="pl-PL"/>
              </w:rPr>
              <w:t>pierwszego 28-dniowego cyklu leczenia.</w:t>
            </w:r>
          </w:p>
          <w:p w14:paraId="3C1DDD4C" w14:textId="77777777" w:rsidR="005C3FE9" w:rsidRPr="00B97F65" w:rsidRDefault="005C3FE9"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lang w:eastAsia="pl-PL"/>
              </w:rPr>
              <w:t xml:space="preserve">Do infuzji w 1. i 2. dniu cyklu należy przygotować dwie torebki infuzyjne (100 mg na dzień 1. i 900 mg na dzień 2.). Jeżeli podczas podawania pierwszej torebki nie było przerw ani konieczności modyfikacji prędkości podawania, drugą torebkę </w:t>
            </w:r>
            <w:r w:rsidRPr="00B97F65">
              <w:rPr>
                <w:rFonts w:ascii="Times New Roman" w:eastAsia="Times New Roman" w:hAnsi="Times New Roman" w:cs="Times New Roman"/>
                <w:sz w:val="20"/>
                <w:szCs w:val="20"/>
                <w:lang w:eastAsia="pl-PL"/>
              </w:rPr>
              <w:lastRenderedPageBreak/>
              <w:t>można podać tego samego dnia (bez konieczności opóźnienia podania), pod warunkiem, że podczas trwania infuzji zapewnione są właściwe warunki, odpowiedni czas i nadzór personelu medycznego. W przypadku jakichkolwiek zmian w prędkości infuzji lub wystąpienia przerw podczas podawania pierwszych 100 mg, drugą torebkę z produktem leczniczym należy podać następnego dnia.</w:t>
            </w:r>
          </w:p>
          <w:p w14:paraId="0218CB6C" w14:textId="60BF8612" w:rsidR="005C3FE9" w:rsidRPr="00B97F65" w:rsidRDefault="005C3FE9" w:rsidP="00B97F65">
            <w:pPr>
              <w:autoSpaceDE w:val="0"/>
              <w:autoSpaceDN w:val="0"/>
              <w:adjustRightInd w:val="0"/>
              <w:rPr>
                <w:rFonts w:ascii="Times New Roman" w:eastAsia="Times New Roman" w:hAnsi="Times New Roman" w:cs="Times New Roman"/>
                <w:sz w:val="20"/>
                <w:szCs w:val="20"/>
                <w:u w:val="single"/>
                <w:lang w:eastAsia="pl-PL"/>
              </w:rPr>
            </w:pPr>
            <w:proofErr w:type="spellStart"/>
            <w:r w:rsidRPr="00B97F65">
              <w:rPr>
                <w:rFonts w:ascii="Times New Roman" w:eastAsia="Times New Roman" w:hAnsi="Times New Roman" w:cs="Times New Roman"/>
                <w:sz w:val="20"/>
                <w:szCs w:val="20"/>
                <w:u w:val="single"/>
                <w:lang w:eastAsia="pl-PL"/>
              </w:rPr>
              <w:t>Obinutuzumab</w:t>
            </w:r>
            <w:proofErr w:type="spellEnd"/>
            <w:r w:rsidRPr="00B97F65">
              <w:rPr>
                <w:rFonts w:ascii="Times New Roman" w:eastAsia="Times New Roman" w:hAnsi="Times New Roman" w:cs="Times New Roman"/>
                <w:sz w:val="20"/>
                <w:szCs w:val="20"/>
                <w:u w:val="single"/>
                <w:lang w:eastAsia="pl-PL"/>
              </w:rPr>
              <w:t xml:space="preserve"> w cyklach 2-6.</w:t>
            </w:r>
            <w:r w:rsidRPr="00B97F65">
              <w:rPr>
                <w:rFonts w:ascii="Times New Roman" w:eastAsia="Times New Roman" w:hAnsi="Times New Roman" w:cs="Times New Roman"/>
                <w:sz w:val="20"/>
                <w:szCs w:val="20"/>
                <w:lang w:eastAsia="pl-PL"/>
              </w:rPr>
              <w:t>: zalecana dawka to 1000 mg, którą podaje się w dniu 1. każdego cyklu</w:t>
            </w:r>
            <w:r w:rsidRPr="00B97F65">
              <w:rPr>
                <w:rFonts w:ascii="Times New Roman" w:eastAsia="Times New Roman" w:hAnsi="Times New Roman" w:cs="Times New Roman"/>
                <w:sz w:val="20"/>
                <w:szCs w:val="20"/>
                <w:u w:val="single"/>
                <w:lang w:eastAsia="pl-PL"/>
              </w:rPr>
              <w:t>.</w:t>
            </w:r>
          </w:p>
          <w:p w14:paraId="14F7F21B" w14:textId="52E10564" w:rsidR="00CA786A" w:rsidRPr="00B97F65" w:rsidRDefault="00CA786A" w:rsidP="00B97F65">
            <w:pPr>
              <w:tabs>
                <w:tab w:val="left" w:pos="1095"/>
              </w:tabs>
              <w:rPr>
                <w:rFonts w:ascii="Times New Roman" w:hAnsi="Times New Roman" w:cs="Times New Roman"/>
                <w:sz w:val="20"/>
                <w:szCs w:val="20"/>
              </w:rPr>
            </w:pPr>
            <w:proofErr w:type="spellStart"/>
            <w:r w:rsidRPr="00B97F65">
              <w:rPr>
                <w:rFonts w:ascii="Times New Roman" w:hAnsi="Times New Roman" w:cs="Times New Roman"/>
                <w:sz w:val="20"/>
                <w:szCs w:val="20"/>
                <w:u w:val="single"/>
              </w:rPr>
              <w:t>Chlorambucyl</w:t>
            </w:r>
            <w:proofErr w:type="spellEnd"/>
            <w:r w:rsidRPr="00B97F65">
              <w:rPr>
                <w:rFonts w:ascii="Times New Roman" w:hAnsi="Times New Roman" w:cs="Times New Roman"/>
                <w:sz w:val="20"/>
                <w:szCs w:val="20"/>
                <w:u w:val="single"/>
              </w:rPr>
              <w:t xml:space="preserve"> w cyklach 1-6</w:t>
            </w:r>
            <w:r w:rsidRPr="00B97F65">
              <w:rPr>
                <w:rFonts w:ascii="Times New Roman" w:hAnsi="Times New Roman" w:cs="Times New Roman"/>
                <w:sz w:val="20"/>
                <w:szCs w:val="20"/>
              </w:rPr>
              <w:t>: zalecana dawka wynosi 0,5 mg/kg mc. w dniach 1. i 15. każdego cyklu.</w:t>
            </w:r>
          </w:p>
          <w:p w14:paraId="23499318" w14:textId="525CFC75" w:rsidR="00B55369" w:rsidRPr="0080193D" w:rsidRDefault="00B55369" w:rsidP="0080193D">
            <w:pPr>
              <w:autoSpaceDE w:val="0"/>
              <w:autoSpaceDN w:val="0"/>
              <w:adjustRightInd w:val="0"/>
              <w:rPr>
                <w:rFonts w:ascii="Times New Roman" w:eastAsia="Times New Roman" w:hAnsi="Times New Roman" w:cs="Times New Roman"/>
                <w:sz w:val="20"/>
                <w:szCs w:val="20"/>
                <w:lang w:eastAsia="pl-PL"/>
              </w:rPr>
            </w:pPr>
          </w:p>
          <w:p w14:paraId="4084F96E" w14:textId="686CF029" w:rsidR="00130873" w:rsidRPr="0080193D" w:rsidRDefault="00281512" w:rsidP="00B97F65">
            <w:pPr>
              <w:pStyle w:val="Akapitzlist"/>
              <w:numPr>
                <w:ilvl w:val="1"/>
                <w:numId w:val="36"/>
              </w:numPr>
              <w:autoSpaceDE w:val="0"/>
              <w:autoSpaceDN w:val="0"/>
              <w:adjustRightInd w:val="0"/>
              <w:contextualSpacing w:val="0"/>
              <w:rPr>
                <w:rFonts w:ascii="Times New Roman" w:hAnsi="Times New Roman" w:cs="Times New Roman"/>
                <w:b/>
                <w:bCs/>
                <w:i/>
                <w:iCs/>
                <w:sz w:val="20"/>
                <w:szCs w:val="20"/>
              </w:rPr>
            </w:pPr>
            <w:proofErr w:type="spellStart"/>
            <w:r w:rsidRPr="0080193D">
              <w:rPr>
                <w:rFonts w:ascii="Times New Roman" w:eastAsia="Times New Roman" w:hAnsi="Times New Roman" w:cs="Times New Roman"/>
                <w:b/>
                <w:bCs/>
                <w:i/>
                <w:iCs/>
                <w:sz w:val="20"/>
                <w:szCs w:val="20"/>
                <w:lang w:eastAsia="pl-PL"/>
              </w:rPr>
              <w:t>wenetoklaks</w:t>
            </w:r>
            <w:proofErr w:type="spellEnd"/>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w</w:t>
            </w:r>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skojarzeniu</w:t>
            </w:r>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z</w:t>
            </w:r>
            <w:r w:rsidR="00025874" w:rsidRPr="0080193D">
              <w:rPr>
                <w:rFonts w:ascii="Times New Roman" w:eastAsia="Times New Roman" w:hAnsi="Times New Roman" w:cs="Times New Roman"/>
                <w:b/>
                <w:bCs/>
                <w:i/>
                <w:iCs/>
                <w:sz w:val="20"/>
                <w:szCs w:val="20"/>
                <w:lang w:eastAsia="pl-PL"/>
              </w:rPr>
              <w:t xml:space="preserve"> </w:t>
            </w:r>
            <w:proofErr w:type="spellStart"/>
            <w:r w:rsidR="00CA786A" w:rsidRPr="0080193D">
              <w:rPr>
                <w:rFonts w:ascii="Times New Roman" w:eastAsia="Times New Roman" w:hAnsi="Times New Roman" w:cs="Times New Roman"/>
                <w:b/>
                <w:bCs/>
                <w:i/>
                <w:iCs/>
                <w:sz w:val="20"/>
                <w:szCs w:val="20"/>
                <w:lang w:eastAsia="pl-PL"/>
              </w:rPr>
              <w:t>obinutuzumabem</w:t>
            </w:r>
            <w:proofErr w:type="spellEnd"/>
          </w:p>
          <w:p w14:paraId="0D350DAA" w14:textId="274C6F93" w:rsidR="00CA786A" w:rsidRPr="00B97F65" w:rsidRDefault="00CA786A" w:rsidP="00B97F65">
            <w:pPr>
              <w:tabs>
                <w:tab w:val="left" w:pos="1095"/>
              </w:tabs>
              <w:rPr>
                <w:rFonts w:ascii="Times New Roman" w:hAnsi="Times New Roman" w:cs="Times New Roman"/>
                <w:sz w:val="20"/>
                <w:szCs w:val="20"/>
              </w:rPr>
            </w:pPr>
            <w:proofErr w:type="spellStart"/>
            <w:r w:rsidRPr="00B97F65">
              <w:rPr>
                <w:rFonts w:ascii="Times New Roman" w:hAnsi="Times New Roman" w:cs="Times New Roman"/>
                <w:sz w:val="20"/>
                <w:szCs w:val="20"/>
                <w:u w:val="single"/>
              </w:rPr>
              <w:t>Wenetoklaks</w:t>
            </w:r>
            <w:proofErr w:type="spellEnd"/>
            <w:r w:rsidRPr="00B97F65">
              <w:rPr>
                <w:rFonts w:ascii="Times New Roman" w:hAnsi="Times New Roman" w:cs="Times New Roman"/>
                <w:sz w:val="20"/>
                <w:szCs w:val="20"/>
                <w:u w:val="single"/>
              </w:rPr>
              <w:t>:</w:t>
            </w:r>
            <w:r w:rsidRPr="00B97F65">
              <w:rPr>
                <w:rFonts w:ascii="Times New Roman" w:hAnsi="Times New Roman" w:cs="Times New Roman"/>
                <w:sz w:val="20"/>
                <w:szCs w:val="20"/>
              </w:rPr>
              <w:t xml:space="preserve"> Dawka początkowa wynosi 20 mg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xml:space="preserve"> 1 raz na dobę przez 7 dni. Dawkę należy stopniowo zwiększać przez okres 5 tygodni aż do osiągnięcia zalecanej dawki dobowej 400 mg jak pokazano na schemacie poniżej:</w:t>
            </w:r>
          </w:p>
          <w:p w14:paraId="4759E389" w14:textId="77777777" w:rsidR="00CA786A" w:rsidRPr="00B97F65" w:rsidRDefault="00CA786A" w:rsidP="00B97F65">
            <w:pPr>
              <w:tabs>
                <w:tab w:val="left" w:pos="1095"/>
              </w:tabs>
              <w:rPr>
                <w:rFonts w:ascii="Times New Roman" w:hAnsi="Times New Roman" w:cs="Times New Roman"/>
                <w:sz w:val="20"/>
                <w:szCs w:val="20"/>
                <w:u w:val="single"/>
              </w:rPr>
            </w:pPr>
            <w:r w:rsidRPr="00B97F65">
              <w:rPr>
                <w:rFonts w:ascii="Times New Roman" w:hAnsi="Times New Roman" w:cs="Times New Roman"/>
                <w:sz w:val="20"/>
                <w:szCs w:val="20"/>
                <w:u w:val="single"/>
              </w:rPr>
              <w:t>Tydzień 1</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20 mg na dobę w jednej dawce.</w:t>
            </w:r>
          </w:p>
          <w:p w14:paraId="5E7AE21F"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2</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50 mg na dobę w jednej dawce.</w:t>
            </w:r>
          </w:p>
          <w:p w14:paraId="2B41B9EC"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3</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100 mg na dobę w jednej dawce.</w:t>
            </w:r>
          </w:p>
          <w:p w14:paraId="1386537A"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4</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200 mg na dobę w jednej dawce.</w:t>
            </w:r>
          </w:p>
          <w:p w14:paraId="233D2067"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5 i kolejne</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400 mg na dobę w jednej dawce.</w:t>
            </w:r>
          </w:p>
          <w:p w14:paraId="6DA278F2" w14:textId="364643B7" w:rsidR="00130873" w:rsidRPr="00B97F65" w:rsidRDefault="00F45EC8" w:rsidP="00B97F65">
            <w:pPr>
              <w:tabs>
                <w:tab w:val="left" w:pos="1095"/>
              </w:tabs>
              <w:rPr>
                <w:rFonts w:ascii="Times New Roman" w:hAnsi="Times New Roman" w:cs="Times New Roman"/>
                <w:sz w:val="20"/>
                <w:szCs w:val="20"/>
              </w:rPr>
            </w:pPr>
            <w:proofErr w:type="spellStart"/>
            <w:r w:rsidRPr="00B97F65">
              <w:rPr>
                <w:rFonts w:ascii="Times New Roman" w:hAnsi="Times New Roman" w:cs="Times New Roman"/>
                <w:sz w:val="20"/>
                <w:szCs w:val="20"/>
              </w:rPr>
              <w:lastRenderedPageBreak/>
              <w:t>Wenetoklaks</w:t>
            </w:r>
            <w:proofErr w:type="spellEnd"/>
            <w:r w:rsidRPr="00B97F65">
              <w:rPr>
                <w:rFonts w:ascii="Times New Roman" w:hAnsi="Times New Roman" w:cs="Times New Roman"/>
                <w:sz w:val="20"/>
                <w:szCs w:val="20"/>
              </w:rPr>
              <w:t xml:space="preserve"> podaje się w 22. dniu pierwszego 28-dniowego cyklu w dawce 20 mg, a następnie kontynuuje się fazę dostosowania dawki zgodnie z opisem powyżej aż do osiągnięcia zalecanej dawki leku tj. 400 mg na dobę. Dawkę 400 mg przyjmuje się raz na dobę aż do czasu zakończenia cyklu 12.</w:t>
            </w:r>
            <w:r w:rsidR="00130873" w:rsidRPr="00B97F65">
              <w:rPr>
                <w:rFonts w:ascii="Times New Roman" w:hAnsi="Times New Roman" w:cs="Times New Roman"/>
                <w:sz w:val="20"/>
                <w:szCs w:val="20"/>
              </w:rPr>
              <w:t xml:space="preserve">Przed rozpoczęciem leczenia </w:t>
            </w:r>
            <w:proofErr w:type="spellStart"/>
            <w:r w:rsidR="00130873" w:rsidRPr="00B97F65">
              <w:rPr>
                <w:rFonts w:ascii="Times New Roman" w:hAnsi="Times New Roman" w:cs="Times New Roman"/>
                <w:sz w:val="20"/>
                <w:szCs w:val="20"/>
              </w:rPr>
              <w:t>wenetoklaksem</w:t>
            </w:r>
            <w:proofErr w:type="spellEnd"/>
            <w:r w:rsidR="00130873" w:rsidRPr="00B97F65">
              <w:rPr>
                <w:rFonts w:ascii="Times New Roman" w:hAnsi="Times New Roman" w:cs="Times New Roman"/>
                <w:sz w:val="20"/>
                <w:szCs w:val="20"/>
              </w:rPr>
              <w:t xml:space="preserve"> należy dokonać oceny ryzyka zespołu rozpadu guza (TLS).</w:t>
            </w:r>
          </w:p>
          <w:p w14:paraId="2D0A5F8D" w14:textId="5B892C09" w:rsidR="009C4D53" w:rsidRPr="00B97F65" w:rsidRDefault="00130873"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 xml:space="preserve">Na podstawie oceny lekarza, u niektórych pacjentów, zwłaszcza tych z wysokim ryzykiem wystąpienia TLS, może być konieczne leczenie szpitalne w dniu przyjęcia 1. dawki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xml:space="preserve"> w celu intensywnej profilaktyki i monitorowania w ciągu pierwszych 24 godzin. Po powtórnej ocenie ryzyka należy rozważyć hospitalizację podczas kolejnego zwiększania dawki. </w:t>
            </w:r>
          </w:p>
          <w:p w14:paraId="5E304CB8" w14:textId="77777777" w:rsidR="008C3308" w:rsidRPr="00B97F65" w:rsidRDefault="008C3308" w:rsidP="00B97F65">
            <w:pPr>
              <w:autoSpaceDE w:val="0"/>
              <w:autoSpaceDN w:val="0"/>
              <w:adjustRightInd w:val="0"/>
              <w:rPr>
                <w:rFonts w:ascii="Times New Roman" w:eastAsia="Times New Roman" w:hAnsi="Times New Roman" w:cs="Times New Roman"/>
                <w:sz w:val="20"/>
                <w:szCs w:val="20"/>
                <w:lang w:eastAsia="pl-PL"/>
              </w:rPr>
            </w:pPr>
            <w:proofErr w:type="spellStart"/>
            <w:r w:rsidRPr="00B97F65">
              <w:rPr>
                <w:rFonts w:ascii="Times New Roman" w:eastAsia="Times New Roman" w:hAnsi="Times New Roman" w:cs="Times New Roman"/>
                <w:sz w:val="20"/>
                <w:szCs w:val="20"/>
                <w:u w:val="single"/>
                <w:lang w:eastAsia="pl-PL"/>
              </w:rPr>
              <w:t>Obinutuzumab</w:t>
            </w:r>
            <w:proofErr w:type="spellEnd"/>
            <w:r w:rsidRPr="00B97F65">
              <w:rPr>
                <w:rFonts w:ascii="Times New Roman" w:eastAsia="Times New Roman" w:hAnsi="Times New Roman" w:cs="Times New Roman"/>
                <w:sz w:val="20"/>
                <w:szCs w:val="20"/>
                <w:u w:val="single"/>
                <w:lang w:eastAsia="pl-PL"/>
              </w:rPr>
              <w:t xml:space="preserve"> w cyklu 1</w:t>
            </w:r>
            <w:r w:rsidRPr="00B97F65">
              <w:rPr>
                <w:rFonts w:ascii="Times New Roman" w:eastAsia="Times New Roman" w:hAnsi="Times New Roman" w:cs="Times New Roman"/>
                <w:sz w:val="20"/>
                <w:szCs w:val="20"/>
                <w:lang w:eastAsia="pl-PL"/>
              </w:rPr>
              <w:t>.: zalecana dawka to 1000 mg, którą podaje się w dniach 1., 2. (kontynuacja dnia 1.), 8. i 15. pierwszego 28-dniowego cyklu leczenia.</w:t>
            </w:r>
          </w:p>
          <w:p w14:paraId="7DFC20E2" w14:textId="77777777" w:rsidR="008C3308" w:rsidRPr="00B97F65" w:rsidRDefault="008C3308"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lang w:eastAsia="pl-PL"/>
              </w:rPr>
              <w:t xml:space="preserve">Do infuzji w 1. i 2. dniu cyklu należy przygotować dwie torebki infuzyjne (100 mg na dzień 1. i 900 mg na dzień 2.). Jeżeli podczas podawania pierwszej torebki nie było przerw ani konieczności modyfikacji prędkości podawania, drugą torebkę można podać tego samego dnia (bez konieczności opóźnienia podania), pod warunkiem, że podczas trwania infuzji zapewnione są właściwe warunki, odpowiedni czas i nadzór personelu medycznego. W przypadku jakichkolwiek zmian w prędkości infuzji lub wystąpienia przerw podczas podawania </w:t>
            </w:r>
            <w:r w:rsidRPr="00B97F65">
              <w:rPr>
                <w:rFonts w:ascii="Times New Roman" w:eastAsia="Times New Roman" w:hAnsi="Times New Roman" w:cs="Times New Roman"/>
                <w:sz w:val="20"/>
                <w:szCs w:val="20"/>
                <w:lang w:eastAsia="pl-PL"/>
              </w:rPr>
              <w:lastRenderedPageBreak/>
              <w:t>pierwszych 100 mg, drugą torebkę z produktem leczniczym należy podać następnego dnia.</w:t>
            </w:r>
          </w:p>
          <w:p w14:paraId="4C866979" w14:textId="77777777" w:rsidR="008C3308" w:rsidRPr="00B97F65" w:rsidRDefault="008C3308" w:rsidP="00B97F65">
            <w:pPr>
              <w:autoSpaceDE w:val="0"/>
              <w:autoSpaceDN w:val="0"/>
              <w:adjustRightInd w:val="0"/>
              <w:rPr>
                <w:rFonts w:ascii="Times New Roman" w:eastAsia="Times New Roman" w:hAnsi="Times New Roman" w:cs="Times New Roman"/>
                <w:sz w:val="20"/>
                <w:szCs w:val="20"/>
                <w:u w:val="single"/>
                <w:lang w:eastAsia="pl-PL"/>
              </w:rPr>
            </w:pPr>
            <w:proofErr w:type="spellStart"/>
            <w:r w:rsidRPr="00B97F65">
              <w:rPr>
                <w:rFonts w:ascii="Times New Roman" w:eastAsia="Times New Roman" w:hAnsi="Times New Roman" w:cs="Times New Roman"/>
                <w:sz w:val="20"/>
                <w:szCs w:val="20"/>
                <w:u w:val="single"/>
                <w:lang w:eastAsia="pl-PL"/>
              </w:rPr>
              <w:t>Obinutuzumab</w:t>
            </w:r>
            <w:proofErr w:type="spellEnd"/>
            <w:r w:rsidRPr="00B97F65">
              <w:rPr>
                <w:rFonts w:ascii="Times New Roman" w:eastAsia="Times New Roman" w:hAnsi="Times New Roman" w:cs="Times New Roman"/>
                <w:sz w:val="20"/>
                <w:szCs w:val="20"/>
                <w:u w:val="single"/>
                <w:lang w:eastAsia="pl-PL"/>
              </w:rPr>
              <w:t xml:space="preserve"> w cyklach 2-6.</w:t>
            </w:r>
            <w:r w:rsidRPr="00B97F65">
              <w:rPr>
                <w:rFonts w:ascii="Times New Roman" w:eastAsia="Times New Roman" w:hAnsi="Times New Roman" w:cs="Times New Roman"/>
                <w:sz w:val="20"/>
                <w:szCs w:val="20"/>
                <w:lang w:eastAsia="pl-PL"/>
              </w:rPr>
              <w:t>: zalecana dawka to 1000 mg, którą podaje się w dniu 1. każdego cyklu</w:t>
            </w:r>
            <w:r w:rsidRPr="00B97F65">
              <w:rPr>
                <w:rFonts w:ascii="Times New Roman" w:eastAsia="Times New Roman" w:hAnsi="Times New Roman" w:cs="Times New Roman"/>
                <w:sz w:val="20"/>
                <w:szCs w:val="20"/>
                <w:u w:val="single"/>
                <w:lang w:eastAsia="pl-PL"/>
              </w:rPr>
              <w:t>.</w:t>
            </w:r>
          </w:p>
          <w:p w14:paraId="441D9D6F" w14:textId="3F2D7C8C" w:rsidR="00F45EC8" w:rsidRPr="0080193D" w:rsidRDefault="00F45EC8" w:rsidP="0080193D">
            <w:pPr>
              <w:autoSpaceDE w:val="0"/>
              <w:autoSpaceDN w:val="0"/>
              <w:adjustRightInd w:val="0"/>
              <w:rPr>
                <w:rFonts w:ascii="Times New Roman" w:hAnsi="Times New Roman" w:cs="Times New Roman"/>
                <w:sz w:val="20"/>
                <w:szCs w:val="20"/>
                <w:u w:val="single"/>
              </w:rPr>
            </w:pPr>
          </w:p>
          <w:p w14:paraId="4F0FDCCD" w14:textId="40A08FC2" w:rsidR="00F45EC8" w:rsidRPr="0080193D" w:rsidRDefault="00F45EC8" w:rsidP="00B97F65">
            <w:pPr>
              <w:pStyle w:val="Akapitzlist"/>
              <w:numPr>
                <w:ilvl w:val="1"/>
                <w:numId w:val="36"/>
              </w:numPr>
              <w:autoSpaceDE w:val="0"/>
              <w:autoSpaceDN w:val="0"/>
              <w:adjustRightInd w:val="0"/>
              <w:contextualSpacing w:val="0"/>
              <w:rPr>
                <w:rFonts w:ascii="Times New Roman" w:hAnsi="Times New Roman" w:cs="Times New Roman"/>
                <w:b/>
                <w:bCs/>
                <w:i/>
                <w:iCs/>
                <w:sz w:val="20"/>
                <w:szCs w:val="20"/>
              </w:rPr>
            </w:pPr>
            <w:proofErr w:type="spellStart"/>
            <w:r w:rsidRPr="0080193D">
              <w:rPr>
                <w:rFonts w:ascii="Times New Roman" w:hAnsi="Times New Roman" w:cs="Times New Roman"/>
                <w:b/>
                <w:bCs/>
                <w:i/>
                <w:iCs/>
                <w:sz w:val="20"/>
                <w:szCs w:val="20"/>
              </w:rPr>
              <w:t>wenetoklaks</w:t>
            </w:r>
            <w:proofErr w:type="spellEnd"/>
            <w:r w:rsidRPr="0080193D">
              <w:rPr>
                <w:rFonts w:ascii="Times New Roman" w:hAnsi="Times New Roman" w:cs="Times New Roman"/>
                <w:b/>
                <w:bCs/>
                <w:i/>
                <w:iCs/>
                <w:sz w:val="20"/>
                <w:szCs w:val="20"/>
              </w:rPr>
              <w:t xml:space="preserve"> w skojarzeniu z </w:t>
            </w:r>
            <w:proofErr w:type="spellStart"/>
            <w:r w:rsidRPr="0080193D">
              <w:rPr>
                <w:rFonts w:ascii="Times New Roman" w:hAnsi="Times New Roman" w:cs="Times New Roman"/>
                <w:b/>
                <w:bCs/>
                <w:i/>
                <w:iCs/>
                <w:sz w:val="20"/>
                <w:szCs w:val="20"/>
              </w:rPr>
              <w:t>rytuksymabem</w:t>
            </w:r>
            <w:proofErr w:type="spellEnd"/>
          </w:p>
          <w:p w14:paraId="7A561ABB" w14:textId="10828171" w:rsidR="00774C20" w:rsidRPr="00B97F65" w:rsidRDefault="008C3308" w:rsidP="00B97F65">
            <w:pPr>
              <w:tabs>
                <w:tab w:val="left" w:pos="1095"/>
              </w:tabs>
              <w:rPr>
                <w:rFonts w:ascii="Times New Roman" w:hAnsi="Times New Roman" w:cs="Times New Roman"/>
                <w:sz w:val="20"/>
                <w:szCs w:val="20"/>
              </w:rPr>
            </w:pPr>
            <w:proofErr w:type="spellStart"/>
            <w:r w:rsidRPr="00B97F65">
              <w:rPr>
                <w:rFonts w:ascii="Times New Roman" w:hAnsi="Times New Roman" w:cs="Times New Roman"/>
                <w:sz w:val="20"/>
                <w:szCs w:val="20"/>
                <w:u w:val="single"/>
              </w:rPr>
              <w:t>Wenetoklaks</w:t>
            </w:r>
            <w:proofErr w:type="spellEnd"/>
            <w:r w:rsidRPr="00B97F65">
              <w:rPr>
                <w:rFonts w:ascii="Times New Roman" w:hAnsi="Times New Roman" w:cs="Times New Roman"/>
                <w:sz w:val="20"/>
                <w:szCs w:val="20"/>
                <w:u w:val="single"/>
              </w:rPr>
              <w:t>:</w:t>
            </w:r>
            <w:r w:rsidRPr="00B97F65">
              <w:rPr>
                <w:rFonts w:ascii="Times New Roman" w:hAnsi="Times New Roman" w:cs="Times New Roman"/>
                <w:sz w:val="20"/>
                <w:szCs w:val="20"/>
              </w:rPr>
              <w:t xml:space="preserve"> </w:t>
            </w:r>
            <w:r w:rsidR="00774C20" w:rsidRPr="00B97F65">
              <w:rPr>
                <w:rFonts w:ascii="Times New Roman" w:hAnsi="Times New Roman" w:cs="Times New Roman"/>
                <w:sz w:val="20"/>
                <w:szCs w:val="20"/>
              </w:rPr>
              <w:t xml:space="preserve">Dawka początkowa wynosi 20 mg </w:t>
            </w:r>
            <w:proofErr w:type="spellStart"/>
            <w:r w:rsidR="00774C20" w:rsidRPr="00B97F65">
              <w:rPr>
                <w:rFonts w:ascii="Times New Roman" w:hAnsi="Times New Roman" w:cs="Times New Roman"/>
                <w:sz w:val="20"/>
                <w:szCs w:val="20"/>
              </w:rPr>
              <w:t>wenetoklaksu</w:t>
            </w:r>
            <w:proofErr w:type="spellEnd"/>
            <w:r w:rsidR="00774C20" w:rsidRPr="00B97F65">
              <w:rPr>
                <w:rFonts w:ascii="Times New Roman" w:hAnsi="Times New Roman" w:cs="Times New Roman"/>
                <w:sz w:val="20"/>
                <w:szCs w:val="20"/>
              </w:rPr>
              <w:t xml:space="preserve"> 1 raz na dobę przez 7 dni. Dawkę należy stopniowo zwiększać przez okres 5 tygodni aż do osiągnięcia zalecanej dawki dobowej 400 mg jak pokazano na schemacie poniżej:</w:t>
            </w:r>
          </w:p>
          <w:p w14:paraId="544C676D" w14:textId="77777777" w:rsidR="00774C20" w:rsidRPr="00B97F65" w:rsidRDefault="00774C20" w:rsidP="00B97F65">
            <w:pPr>
              <w:tabs>
                <w:tab w:val="left" w:pos="1095"/>
              </w:tabs>
              <w:rPr>
                <w:rFonts w:ascii="Times New Roman" w:hAnsi="Times New Roman" w:cs="Times New Roman"/>
                <w:sz w:val="20"/>
                <w:szCs w:val="20"/>
                <w:u w:val="single"/>
              </w:rPr>
            </w:pPr>
            <w:r w:rsidRPr="00B97F65">
              <w:rPr>
                <w:rFonts w:ascii="Times New Roman" w:hAnsi="Times New Roman" w:cs="Times New Roman"/>
                <w:sz w:val="20"/>
                <w:szCs w:val="20"/>
                <w:u w:val="single"/>
              </w:rPr>
              <w:t>Tydzień 1</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20 mg na dobę w jednej dawce.</w:t>
            </w:r>
          </w:p>
          <w:p w14:paraId="1228A53B"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2</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50 mg na dobę w jednej dawce.</w:t>
            </w:r>
          </w:p>
          <w:p w14:paraId="3C5779BD"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3</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100 mg na dobę w jednej dawce.</w:t>
            </w:r>
          </w:p>
          <w:p w14:paraId="02E60F12"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4</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200 mg na dobę w jednej dawce.</w:t>
            </w:r>
          </w:p>
          <w:p w14:paraId="4EDCDCFC"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5 i kolejne</w:t>
            </w:r>
            <w:r w:rsidRPr="00B97F65">
              <w:rPr>
                <w:rFonts w:ascii="Times New Roman" w:hAnsi="Times New Roman" w:cs="Times New Roman"/>
                <w:sz w:val="20"/>
                <w:szCs w:val="20"/>
              </w:rPr>
              <w:t xml:space="preserve"> – zalecana dawka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doustnie 400 mg na dobę w jednej dawce.</w:t>
            </w:r>
          </w:p>
          <w:p w14:paraId="67C30A5A" w14:textId="77777777" w:rsidR="00937E2E" w:rsidRPr="00B97F65" w:rsidRDefault="00937E2E"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 xml:space="preserve">Przed rozpoczęciem leczenia </w:t>
            </w:r>
            <w:proofErr w:type="spellStart"/>
            <w:r w:rsidRPr="00B97F65">
              <w:rPr>
                <w:rFonts w:ascii="Times New Roman" w:hAnsi="Times New Roman" w:cs="Times New Roman"/>
                <w:sz w:val="20"/>
                <w:szCs w:val="20"/>
              </w:rPr>
              <w:t>wenetoklaksem</w:t>
            </w:r>
            <w:proofErr w:type="spellEnd"/>
            <w:r w:rsidRPr="00B97F65">
              <w:rPr>
                <w:rFonts w:ascii="Times New Roman" w:hAnsi="Times New Roman" w:cs="Times New Roman"/>
                <w:sz w:val="20"/>
                <w:szCs w:val="20"/>
              </w:rPr>
              <w:t xml:space="preserve"> należy dokonać oceny ryzyka zespołu rozpadu guza (TLS).</w:t>
            </w:r>
          </w:p>
          <w:p w14:paraId="476FD39C" w14:textId="40711921" w:rsidR="00F45EC8" w:rsidRPr="00B97F65" w:rsidRDefault="00937E2E"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 xml:space="preserve">Na podstawie oceny lekarza, u niektórych pacjentów, zwłaszcza tych z wysokim ryzykiem wystąpienia TLS może być konieczne leczenie szpitalne w dniu przyjęcia pierwszej dawki </w:t>
            </w:r>
            <w:proofErr w:type="spellStart"/>
            <w:r w:rsidRPr="00B97F65">
              <w:rPr>
                <w:rFonts w:ascii="Times New Roman" w:hAnsi="Times New Roman" w:cs="Times New Roman"/>
                <w:sz w:val="20"/>
                <w:szCs w:val="20"/>
              </w:rPr>
              <w:t>wenetoklaksu</w:t>
            </w:r>
            <w:proofErr w:type="spellEnd"/>
            <w:r w:rsidRPr="00B97F65">
              <w:rPr>
                <w:rFonts w:ascii="Times New Roman" w:hAnsi="Times New Roman" w:cs="Times New Roman"/>
                <w:sz w:val="20"/>
                <w:szCs w:val="20"/>
              </w:rPr>
              <w:t xml:space="preserve"> w celu intensywnej profilaktyki i monitorowania w ciągu pierwszych 24 godzin. Po powtórnej ocenie ryzyka należy rozważyć </w:t>
            </w:r>
            <w:r w:rsidRPr="00B97F65">
              <w:rPr>
                <w:rFonts w:ascii="Times New Roman" w:hAnsi="Times New Roman" w:cs="Times New Roman"/>
                <w:sz w:val="20"/>
                <w:szCs w:val="20"/>
              </w:rPr>
              <w:lastRenderedPageBreak/>
              <w:t>hospitalizację podczas kolejnego zwiększania dawki.</w:t>
            </w:r>
          </w:p>
          <w:p w14:paraId="217A380E" w14:textId="227DD0A5" w:rsidR="003936F0" w:rsidRPr="00B97F65" w:rsidRDefault="00937E2E"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rPr>
              <w:t xml:space="preserve">Leczenie </w:t>
            </w:r>
            <w:proofErr w:type="spellStart"/>
            <w:r w:rsidRPr="00B97F65">
              <w:rPr>
                <w:rFonts w:ascii="Times New Roman" w:hAnsi="Times New Roman" w:cs="Times New Roman"/>
                <w:sz w:val="20"/>
                <w:szCs w:val="20"/>
              </w:rPr>
              <w:t>wenetoklaksem</w:t>
            </w:r>
            <w:proofErr w:type="spellEnd"/>
            <w:r w:rsidRPr="00B97F65">
              <w:rPr>
                <w:rFonts w:ascii="Times New Roman" w:hAnsi="Times New Roman" w:cs="Times New Roman"/>
                <w:sz w:val="20"/>
                <w:szCs w:val="20"/>
              </w:rPr>
              <w:t xml:space="preserve"> w dawce 400 mg</w:t>
            </w:r>
            <w:r w:rsidR="00B542D3" w:rsidRPr="00B97F65">
              <w:rPr>
                <w:rFonts w:ascii="Times New Roman" w:hAnsi="Times New Roman" w:cs="Times New Roman"/>
                <w:sz w:val="20"/>
                <w:szCs w:val="20"/>
              </w:rPr>
              <w:t xml:space="preserve"> </w:t>
            </w:r>
            <w:r w:rsidRPr="00B97F65">
              <w:rPr>
                <w:rFonts w:ascii="Times New Roman" w:hAnsi="Times New Roman" w:cs="Times New Roman"/>
                <w:sz w:val="20"/>
                <w:szCs w:val="20"/>
              </w:rPr>
              <w:t xml:space="preserve">powinno być kontynuowane w trakcie cykli leczenia </w:t>
            </w:r>
            <w:proofErr w:type="spellStart"/>
            <w:r w:rsidRPr="00B97F65">
              <w:rPr>
                <w:rFonts w:ascii="Times New Roman" w:hAnsi="Times New Roman" w:cs="Times New Roman"/>
                <w:sz w:val="20"/>
                <w:szCs w:val="20"/>
              </w:rPr>
              <w:t>rytuksymabem</w:t>
            </w:r>
            <w:proofErr w:type="spellEnd"/>
            <w:r w:rsidRPr="00B97F65">
              <w:rPr>
                <w:rFonts w:ascii="Times New Roman" w:hAnsi="Times New Roman" w:cs="Times New Roman"/>
                <w:sz w:val="20"/>
                <w:szCs w:val="20"/>
              </w:rPr>
              <w:t xml:space="preserve"> i po ich zakończeniu do 24 miesięcy licząc od podania </w:t>
            </w:r>
            <w:proofErr w:type="spellStart"/>
            <w:r w:rsidRPr="00B97F65">
              <w:rPr>
                <w:rFonts w:ascii="Times New Roman" w:hAnsi="Times New Roman" w:cs="Times New Roman"/>
                <w:sz w:val="20"/>
                <w:szCs w:val="20"/>
              </w:rPr>
              <w:t>rytuksymabu</w:t>
            </w:r>
            <w:proofErr w:type="spellEnd"/>
            <w:r w:rsidRPr="00B97F65">
              <w:rPr>
                <w:rFonts w:ascii="Times New Roman" w:hAnsi="Times New Roman" w:cs="Times New Roman"/>
                <w:sz w:val="20"/>
                <w:szCs w:val="20"/>
              </w:rPr>
              <w:t xml:space="preserve"> w 1. dniu 1. cyklu.</w:t>
            </w:r>
          </w:p>
          <w:p w14:paraId="0F524ECE" w14:textId="64B5B423" w:rsidR="00937E2E" w:rsidRPr="007E08AD" w:rsidRDefault="008C3308" w:rsidP="007E08AD">
            <w:pPr>
              <w:tabs>
                <w:tab w:val="left" w:pos="1095"/>
              </w:tabs>
              <w:rPr>
                <w:rFonts w:ascii="Times New Roman" w:hAnsi="Times New Roman" w:cs="Times New Roman"/>
                <w:sz w:val="20"/>
                <w:szCs w:val="20"/>
              </w:rPr>
            </w:pPr>
            <w:proofErr w:type="spellStart"/>
            <w:r w:rsidRPr="007E08AD">
              <w:rPr>
                <w:rFonts w:ascii="Times New Roman" w:hAnsi="Times New Roman" w:cs="Times New Roman"/>
                <w:sz w:val="20"/>
                <w:szCs w:val="20"/>
                <w:u w:val="single"/>
              </w:rPr>
              <w:t>Rytuksymab</w:t>
            </w:r>
            <w:proofErr w:type="spellEnd"/>
            <w:r w:rsidRPr="007E08AD">
              <w:rPr>
                <w:rFonts w:ascii="Times New Roman" w:hAnsi="Times New Roman" w:cs="Times New Roman"/>
                <w:sz w:val="20"/>
                <w:szCs w:val="20"/>
                <w:u w:val="single"/>
              </w:rPr>
              <w:t>:</w:t>
            </w:r>
            <w:r w:rsidRPr="007E08AD">
              <w:rPr>
                <w:rFonts w:ascii="Times New Roman" w:hAnsi="Times New Roman" w:cs="Times New Roman"/>
                <w:sz w:val="20"/>
                <w:szCs w:val="20"/>
              </w:rPr>
              <w:t xml:space="preserve"> </w:t>
            </w:r>
            <w:r w:rsidR="001973E9" w:rsidRPr="007E08AD">
              <w:rPr>
                <w:rFonts w:ascii="Times New Roman" w:hAnsi="Times New Roman" w:cs="Times New Roman"/>
                <w:sz w:val="20"/>
                <w:szCs w:val="20"/>
              </w:rPr>
              <w:t xml:space="preserve">Rozpoczęcie pierwszego cyklu leczenia </w:t>
            </w:r>
            <w:proofErr w:type="spellStart"/>
            <w:r w:rsidR="001973E9" w:rsidRPr="007E08AD">
              <w:rPr>
                <w:rFonts w:ascii="Times New Roman" w:hAnsi="Times New Roman" w:cs="Times New Roman"/>
                <w:sz w:val="20"/>
                <w:szCs w:val="20"/>
              </w:rPr>
              <w:t>rytuksymabem</w:t>
            </w:r>
            <w:proofErr w:type="spellEnd"/>
            <w:r w:rsidR="001973E9" w:rsidRPr="007E08AD">
              <w:rPr>
                <w:rFonts w:ascii="Times New Roman" w:hAnsi="Times New Roman" w:cs="Times New Roman"/>
                <w:sz w:val="20"/>
                <w:szCs w:val="20"/>
              </w:rPr>
              <w:t xml:space="preserve"> następuje po zakończeniu okresu miareczkowania dawki </w:t>
            </w:r>
            <w:proofErr w:type="spellStart"/>
            <w:r w:rsidR="001973E9" w:rsidRPr="007E08AD">
              <w:rPr>
                <w:rFonts w:ascii="Times New Roman" w:hAnsi="Times New Roman" w:cs="Times New Roman"/>
                <w:sz w:val="20"/>
                <w:szCs w:val="20"/>
              </w:rPr>
              <w:t>wenetoklaksu</w:t>
            </w:r>
            <w:proofErr w:type="spellEnd"/>
            <w:r w:rsidR="001973E9" w:rsidRPr="007E08AD">
              <w:rPr>
                <w:rFonts w:ascii="Times New Roman" w:hAnsi="Times New Roman" w:cs="Times New Roman"/>
                <w:sz w:val="20"/>
                <w:szCs w:val="20"/>
              </w:rPr>
              <w:t xml:space="preserve"> (osiągnięcie dawki 400 mg/dobę). Dawka początkowa </w:t>
            </w:r>
            <w:proofErr w:type="spellStart"/>
            <w:r w:rsidR="001973E9" w:rsidRPr="007E08AD">
              <w:rPr>
                <w:rFonts w:ascii="Times New Roman" w:hAnsi="Times New Roman" w:cs="Times New Roman"/>
                <w:sz w:val="20"/>
                <w:szCs w:val="20"/>
              </w:rPr>
              <w:t>rytuksymabu</w:t>
            </w:r>
            <w:proofErr w:type="spellEnd"/>
            <w:r w:rsidR="001973E9" w:rsidRPr="007E08AD">
              <w:rPr>
                <w:rFonts w:ascii="Times New Roman" w:hAnsi="Times New Roman" w:cs="Times New Roman"/>
                <w:sz w:val="20"/>
                <w:szCs w:val="20"/>
              </w:rPr>
              <w:t xml:space="preserve"> w dniu 1. 28-dniowego cyklu wynosi 375 mg/m</w:t>
            </w:r>
            <w:r w:rsidR="001973E9" w:rsidRPr="007E08AD">
              <w:rPr>
                <w:rFonts w:ascii="Times New Roman" w:hAnsi="Times New Roman" w:cs="Times New Roman"/>
                <w:sz w:val="20"/>
                <w:szCs w:val="20"/>
                <w:vertAlign w:val="superscript"/>
              </w:rPr>
              <w:t>2</w:t>
            </w:r>
            <w:r w:rsidR="001973E9" w:rsidRPr="007E08AD">
              <w:rPr>
                <w:rFonts w:ascii="Times New Roman" w:hAnsi="Times New Roman" w:cs="Times New Roman"/>
                <w:sz w:val="20"/>
                <w:szCs w:val="20"/>
              </w:rPr>
              <w:t xml:space="preserve"> powierzchni ciała podawanego dożylnie, a następnie 500 mg/m</w:t>
            </w:r>
            <w:r w:rsidR="001973E9" w:rsidRPr="007E08AD">
              <w:rPr>
                <w:rFonts w:ascii="Times New Roman" w:hAnsi="Times New Roman" w:cs="Times New Roman"/>
                <w:sz w:val="20"/>
                <w:szCs w:val="20"/>
                <w:vertAlign w:val="superscript"/>
              </w:rPr>
              <w:t>2</w:t>
            </w:r>
            <w:r w:rsidR="001973E9" w:rsidRPr="007E08AD">
              <w:rPr>
                <w:rFonts w:ascii="Times New Roman" w:hAnsi="Times New Roman" w:cs="Times New Roman"/>
                <w:sz w:val="20"/>
                <w:szCs w:val="20"/>
              </w:rPr>
              <w:t xml:space="preserve"> powierzchni ciała w dniu 1. każdego 28-dniowego cyklu, przez w sumie 6 cykli.</w:t>
            </w:r>
          </w:p>
          <w:p w14:paraId="6AC5BB4D" w14:textId="3EAF7B6C" w:rsidR="001973E9" w:rsidRPr="0080193D" w:rsidRDefault="001973E9" w:rsidP="0080193D">
            <w:pPr>
              <w:tabs>
                <w:tab w:val="left" w:pos="1095"/>
              </w:tabs>
              <w:rPr>
                <w:rFonts w:ascii="Times New Roman" w:hAnsi="Times New Roman" w:cs="Times New Roman"/>
                <w:sz w:val="20"/>
                <w:szCs w:val="20"/>
              </w:rPr>
            </w:pPr>
          </w:p>
          <w:p w14:paraId="6D1EC136" w14:textId="6AB7DBDE" w:rsidR="001973E9" w:rsidRPr="0080193D" w:rsidRDefault="001973E9" w:rsidP="00B97F65">
            <w:pPr>
              <w:pStyle w:val="Akapitzlist"/>
              <w:numPr>
                <w:ilvl w:val="1"/>
                <w:numId w:val="36"/>
              </w:numPr>
              <w:tabs>
                <w:tab w:val="left" w:pos="1095"/>
              </w:tabs>
              <w:contextualSpacing w:val="0"/>
              <w:rPr>
                <w:rFonts w:ascii="Times New Roman" w:hAnsi="Times New Roman" w:cs="Times New Roman"/>
                <w:b/>
                <w:bCs/>
                <w:i/>
                <w:iCs/>
                <w:sz w:val="20"/>
                <w:szCs w:val="20"/>
              </w:rPr>
            </w:pPr>
            <w:proofErr w:type="spellStart"/>
            <w:r w:rsidRPr="0080193D">
              <w:rPr>
                <w:rFonts w:ascii="Times New Roman" w:hAnsi="Times New Roman" w:cs="Times New Roman"/>
                <w:b/>
                <w:bCs/>
                <w:i/>
                <w:iCs/>
                <w:sz w:val="20"/>
                <w:szCs w:val="20"/>
              </w:rPr>
              <w:t>wenetoklaks</w:t>
            </w:r>
            <w:proofErr w:type="spellEnd"/>
            <w:r w:rsidRPr="0080193D">
              <w:rPr>
                <w:rFonts w:ascii="Times New Roman" w:hAnsi="Times New Roman" w:cs="Times New Roman"/>
                <w:b/>
                <w:bCs/>
                <w:i/>
                <w:iCs/>
                <w:sz w:val="20"/>
                <w:szCs w:val="20"/>
              </w:rPr>
              <w:t xml:space="preserve"> w </w:t>
            </w:r>
            <w:proofErr w:type="spellStart"/>
            <w:r w:rsidRPr="0080193D">
              <w:rPr>
                <w:rFonts w:ascii="Times New Roman" w:hAnsi="Times New Roman" w:cs="Times New Roman"/>
                <w:b/>
                <w:bCs/>
                <w:i/>
                <w:iCs/>
                <w:sz w:val="20"/>
                <w:szCs w:val="20"/>
              </w:rPr>
              <w:t>monoterapii</w:t>
            </w:r>
            <w:proofErr w:type="spellEnd"/>
          </w:p>
          <w:p w14:paraId="06190AEE" w14:textId="6B0C9F73"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rPr>
              <w:t xml:space="preserve">Dawka początkowa wynosi 20 mg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xml:space="preserve"> </w:t>
            </w:r>
            <w:r w:rsidRPr="007E08AD">
              <w:rPr>
                <w:rFonts w:ascii="Times New Roman" w:hAnsi="Times New Roman" w:cs="Times New Roman"/>
                <w:sz w:val="20"/>
                <w:szCs w:val="20"/>
              </w:rPr>
              <w:br/>
              <w:t>1 raz na dobę przez 7 dni. Dawkę należy stopniowo zwiększać przez okres 5 tygodni aż do osiągnięcia zalecanej dawki dobowej 400 mg jak pokazano na schemacie poniżej:</w:t>
            </w:r>
          </w:p>
          <w:p w14:paraId="09C50A95" w14:textId="77777777" w:rsidR="001973E9" w:rsidRPr="007E08AD" w:rsidRDefault="001973E9" w:rsidP="007E08AD">
            <w:pPr>
              <w:tabs>
                <w:tab w:val="left" w:pos="1095"/>
              </w:tabs>
              <w:rPr>
                <w:rFonts w:ascii="Times New Roman" w:hAnsi="Times New Roman" w:cs="Times New Roman"/>
                <w:sz w:val="20"/>
                <w:szCs w:val="20"/>
                <w:u w:val="single"/>
              </w:rPr>
            </w:pPr>
            <w:r w:rsidRPr="007E08AD">
              <w:rPr>
                <w:rFonts w:ascii="Times New Roman" w:hAnsi="Times New Roman" w:cs="Times New Roman"/>
                <w:sz w:val="20"/>
                <w:szCs w:val="20"/>
                <w:u w:val="single"/>
              </w:rPr>
              <w:t>Tydzień 1</w:t>
            </w:r>
            <w:r w:rsidRPr="007E08AD">
              <w:rPr>
                <w:rFonts w:ascii="Times New Roman" w:hAnsi="Times New Roman" w:cs="Times New Roman"/>
                <w:sz w:val="20"/>
                <w:szCs w:val="20"/>
              </w:rPr>
              <w:t xml:space="preserve"> – zalecana dawka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doustnie 20 mg na dobę w jednej dawce.</w:t>
            </w:r>
          </w:p>
          <w:p w14:paraId="6733997E"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2</w:t>
            </w:r>
            <w:r w:rsidRPr="007E08AD">
              <w:rPr>
                <w:rFonts w:ascii="Times New Roman" w:hAnsi="Times New Roman" w:cs="Times New Roman"/>
                <w:sz w:val="20"/>
                <w:szCs w:val="20"/>
              </w:rPr>
              <w:t xml:space="preserve"> – zalecana dawka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doustnie 50 mg na dobę w jednej dawce.</w:t>
            </w:r>
          </w:p>
          <w:p w14:paraId="41946CC9"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3</w:t>
            </w:r>
            <w:r w:rsidRPr="007E08AD">
              <w:rPr>
                <w:rFonts w:ascii="Times New Roman" w:hAnsi="Times New Roman" w:cs="Times New Roman"/>
                <w:sz w:val="20"/>
                <w:szCs w:val="20"/>
              </w:rPr>
              <w:t xml:space="preserve"> – zalecana dawka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doustnie 100 mg na dobę w jednej dawce.</w:t>
            </w:r>
          </w:p>
          <w:p w14:paraId="761E3814"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4</w:t>
            </w:r>
            <w:r w:rsidRPr="007E08AD">
              <w:rPr>
                <w:rFonts w:ascii="Times New Roman" w:hAnsi="Times New Roman" w:cs="Times New Roman"/>
                <w:sz w:val="20"/>
                <w:szCs w:val="20"/>
              </w:rPr>
              <w:t xml:space="preserve"> – zalecana dawka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doustnie 200 mg na dobę w jednej dawce.</w:t>
            </w:r>
          </w:p>
          <w:p w14:paraId="005A4809"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lastRenderedPageBreak/>
              <w:t>Tydzień 5 i kolejne</w:t>
            </w:r>
            <w:r w:rsidRPr="007E08AD">
              <w:rPr>
                <w:rFonts w:ascii="Times New Roman" w:hAnsi="Times New Roman" w:cs="Times New Roman"/>
                <w:sz w:val="20"/>
                <w:szCs w:val="20"/>
              </w:rPr>
              <w:t xml:space="preserve"> – zalecana dawka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doustnie 400 mg na dobę w jednej dawce.</w:t>
            </w:r>
          </w:p>
          <w:p w14:paraId="228A42FC" w14:textId="77777777" w:rsidR="001973E9" w:rsidRPr="007E08AD" w:rsidRDefault="001973E9" w:rsidP="007E08AD">
            <w:pPr>
              <w:autoSpaceDE w:val="0"/>
              <w:autoSpaceDN w:val="0"/>
              <w:adjustRightInd w:val="0"/>
              <w:rPr>
                <w:rFonts w:ascii="Times New Roman" w:hAnsi="Times New Roman" w:cs="Times New Roman"/>
                <w:sz w:val="20"/>
                <w:szCs w:val="20"/>
              </w:rPr>
            </w:pPr>
            <w:r w:rsidRPr="007E08AD">
              <w:rPr>
                <w:rFonts w:ascii="Times New Roman" w:hAnsi="Times New Roman" w:cs="Times New Roman"/>
                <w:sz w:val="20"/>
                <w:szCs w:val="20"/>
              </w:rPr>
              <w:t xml:space="preserve">Przed rozpoczęciem leczenia </w:t>
            </w:r>
            <w:proofErr w:type="spellStart"/>
            <w:r w:rsidRPr="007E08AD">
              <w:rPr>
                <w:rFonts w:ascii="Times New Roman" w:hAnsi="Times New Roman" w:cs="Times New Roman"/>
                <w:sz w:val="20"/>
                <w:szCs w:val="20"/>
              </w:rPr>
              <w:t>wenetoklaksem</w:t>
            </w:r>
            <w:proofErr w:type="spellEnd"/>
            <w:r w:rsidRPr="007E08AD">
              <w:rPr>
                <w:rFonts w:ascii="Times New Roman" w:hAnsi="Times New Roman" w:cs="Times New Roman"/>
                <w:sz w:val="20"/>
                <w:szCs w:val="20"/>
              </w:rPr>
              <w:t xml:space="preserve"> należy dokonać oceny ryzyka zespołu rozpadu guza (TLS).</w:t>
            </w:r>
          </w:p>
          <w:p w14:paraId="2D387C7D" w14:textId="77777777" w:rsidR="001973E9" w:rsidRPr="007E08AD" w:rsidRDefault="001973E9" w:rsidP="007E08AD">
            <w:pPr>
              <w:autoSpaceDE w:val="0"/>
              <w:autoSpaceDN w:val="0"/>
              <w:adjustRightInd w:val="0"/>
              <w:rPr>
                <w:rFonts w:ascii="Times New Roman" w:hAnsi="Times New Roman" w:cs="Times New Roman"/>
                <w:sz w:val="20"/>
                <w:szCs w:val="20"/>
              </w:rPr>
            </w:pPr>
            <w:r w:rsidRPr="007E08AD">
              <w:rPr>
                <w:rFonts w:ascii="Times New Roman" w:hAnsi="Times New Roman" w:cs="Times New Roman"/>
                <w:sz w:val="20"/>
                <w:szCs w:val="20"/>
              </w:rPr>
              <w:t xml:space="preserve">Na podstawie oceny lekarza, u niektórych pacjentów, zwłaszcza tych z wysokim ryzykiem wystąpienia TLS może być konieczne leczenie szpitalne w dniu przyjęcia pierwszej dawki </w:t>
            </w:r>
            <w:proofErr w:type="spellStart"/>
            <w:r w:rsidRPr="007E08AD">
              <w:rPr>
                <w:rFonts w:ascii="Times New Roman" w:hAnsi="Times New Roman" w:cs="Times New Roman"/>
                <w:sz w:val="20"/>
                <w:szCs w:val="20"/>
              </w:rPr>
              <w:t>wenetoklaksu</w:t>
            </w:r>
            <w:proofErr w:type="spellEnd"/>
            <w:r w:rsidRPr="007E08AD">
              <w:rPr>
                <w:rFonts w:ascii="Times New Roman" w:hAnsi="Times New Roman" w:cs="Times New Roman"/>
                <w:sz w:val="20"/>
                <w:szCs w:val="20"/>
              </w:rPr>
              <w:t xml:space="preserve"> w celu intensywnej profilaktyki i monitorowania w ciągu pierwszych 24 godzin. Po powtórnej ocenie ryzyka należy rozważyć hospitalizację podczas kolejnego zwiększania dawki.</w:t>
            </w:r>
          </w:p>
          <w:p w14:paraId="185D2640" w14:textId="77777777" w:rsidR="001973E9" w:rsidRPr="0080193D" w:rsidRDefault="001973E9" w:rsidP="0080193D">
            <w:pPr>
              <w:tabs>
                <w:tab w:val="left" w:pos="1095"/>
              </w:tabs>
              <w:rPr>
                <w:rFonts w:ascii="Times New Roman" w:hAnsi="Times New Roman" w:cs="Times New Roman"/>
                <w:sz w:val="20"/>
                <w:szCs w:val="20"/>
              </w:rPr>
            </w:pPr>
          </w:p>
          <w:p w14:paraId="6761407A" w14:textId="22EB3E98" w:rsidR="005A652A" w:rsidRPr="0080193D" w:rsidRDefault="00BC3CB9" w:rsidP="00B97F65">
            <w:pPr>
              <w:pStyle w:val="Akapitzlist"/>
              <w:numPr>
                <w:ilvl w:val="0"/>
                <w:numId w:val="36"/>
              </w:numPr>
              <w:tabs>
                <w:tab w:val="left" w:pos="1095"/>
              </w:tabs>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Modyfikacja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dawkowania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leków</w:t>
            </w:r>
          </w:p>
          <w:p w14:paraId="3D3E8428" w14:textId="1C979DB9" w:rsidR="00BC3CB9" w:rsidRPr="007E08AD" w:rsidRDefault="00BC3CB9" w:rsidP="007E08AD">
            <w:pPr>
              <w:tabs>
                <w:tab w:val="left" w:pos="1095"/>
              </w:tabs>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Modyfikacja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dawkowania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zgodnie</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z</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aktualnymi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na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dzień</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wydania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decyzji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Charakterystykami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Produktu</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Leczniczego</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poszczególnych</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leków.</w:t>
            </w:r>
            <w:r w:rsidR="00025874" w:rsidRPr="007E08AD">
              <w:rPr>
                <w:rFonts w:ascii="Times New Roman" w:eastAsia="Times New Roman" w:hAnsi="Times New Roman" w:cs="Times New Roman"/>
                <w:sz w:val="20"/>
                <w:szCs w:val="20"/>
                <w:lang w:eastAsia="pl-PL"/>
              </w:rPr>
              <w:t xml:space="preserve"> </w:t>
            </w:r>
          </w:p>
          <w:p w14:paraId="72ADA5A3" w14:textId="3EA6C037" w:rsidR="00BC3CB9" w:rsidRPr="0080193D" w:rsidRDefault="00BC3CB9" w:rsidP="0080193D">
            <w:pPr>
              <w:pStyle w:val="Akapitzlist"/>
              <w:tabs>
                <w:tab w:val="left" w:pos="1095"/>
              </w:tabs>
              <w:ind w:left="227"/>
              <w:contextualSpacing w:val="0"/>
              <w:rPr>
                <w:rFonts w:ascii="Times New Roman" w:eastAsia="Times New Roman" w:hAnsi="Times New Roman" w:cs="Times New Roman"/>
                <w:sz w:val="20"/>
                <w:szCs w:val="20"/>
                <w:lang w:eastAsia="pl-PL"/>
              </w:rPr>
            </w:pPr>
          </w:p>
        </w:tc>
        <w:tc>
          <w:tcPr>
            <w:tcW w:w="4296" w:type="dxa"/>
          </w:tcPr>
          <w:p w14:paraId="32BBCCA9" w14:textId="663D621E" w:rsidR="00D34AD7" w:rsidRPr="0080193D" w:rsidRDefault="00D34AD7" w:rsidP="007E08AD">
            <w:pPr>
              <w:pStyle w:val="Akapitzlist"/>
              <w:numPr>
                <w:ilvl w:val="0"/>
                <w:numId w:val="37"/>
              </w:numPr>
              <w:autoSpaceDE w:val="0"/>
              <w:autoSpaceDN w:val="0"/>
              <w:adjustRightInd w:val="0"/>
              <w:spacing w:before="120"/>
              <w:contextualSpacing w:val="0"/>
              <w:rPr>
                <w:rFonts w:ascii="Times New Roman" w:hAnsi="Times New Roman" w:cs="Times New Roman"/>
                <w:b/>
                <w:sz w:val="20"/>
                <w:szCs w:val="20"/>
              </w:rPr>
            </w:pPr>
            <w:r w:rsidRPr="0080193D">
              <w:rPr>
                <w:rFonts w:ascii="Times New Roman" w:hAnsi="Times New Roman" w:cs="Times New Roman"/>
                <w:b/>
                <w:sz w:val="20"/>
                <w:szCs w:val="20"/>
              </w:rPr>
              <w:lastRenderedPageBreak/>
              <w:t>Badania</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przy</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kwalifikacji</w:t>
            </w:r>
          </w:p>
          <w:p w14:paraId="11E5AE29" w14:textId="77777777"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badania niezbędne do ustalenia rozpoznania przewlekłej białaczki limfocytowej, o ile nie były wykonywane wcześniej:</w:t>
            </w:r>
          </w:p>
          <w:p w14:paraId="713C172F" w14:textId="1C33C72D"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badanie na obecność antygenu CD20</w:t>
            </w:r>
            <w:r w:rsidR="002169B4" w:rsidRPr="0080193D">
              <w:rPr>
                <w:rFonts w:ascii="Times New Roman" w:hAnsi="Times New Roman" w:cs="Times New Roman"/>
                <w:sz w:val="20"/>
                <w:szCs w:val="20"/>
              </w:rPr>
              <w:t xml:space="preserve"> (szczególnie przy stosowaniu terapii </w:t>
            </w:r>
            <w:r w:rsidR="00F136B5" w:rsidRPr="0080193D">
              <w:rPr>
                <w:rFonts w:ascii="Times New Roman" w:hAnsi="Times New Roman" w:cs="Times New Roman"/>
                <w:sz w:val="20"/>
                <w:szCs w:val="20"/>
              </w:rPr>
              <w:br/>
            </w:r>
            <w:r w:rsidR="002169B4" w:rsidRPr="0080193D">
              <w:rPr>
                <w:rFonts w:ascii="Times New Roman" w:hAnsi="Times New Roman" w:cs="Times New Roman"/>
                <w:sz w:val="20"/>
                <w:szCs w:val="20"/>
              </w:rPr>
              <w:t>z przeciwciałami anty-CD20)</w:t>
            </w:r>
            <w:r w:rsidRPr="0080193D">
              <w:rPr>
                <w:rFonts w:ascii="Times New Roman" w:hAnsi="Times New Roman" w:cs="Times New Roman"/>
                <w:sz w:val="20"/>
                <w:szCs w:val="20"/>
              </w:rPr>
              <w:t>,</w:t>
            </w:r>
          </w:p>
          <w:p w14:paraId="5D87DFA0" w14:textId="77777777" w:rsidR="00C5381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p>
          <w:p w14:paraId="7DC59AF6" w14:textId="1B5F4CD2" w:rsidR="00C5381E" w:rsidRPr="0080193D" w:rsidRDefault="00C5381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badanie na obecność </w:t>
            </w:r>
            <w:r w:rsidR="005E6763" w:rsidRPr="0080193D">
              <w:rPr>
                <w:rFonts w:ascii="Times New Roman" w:hAnsi="Times New Roman" w:cs="Times New Roman"/>
                <w:sz w:val="20"/>
                <w:szCs w:val="20"/>
              </w:rPr>
              <w:t>delecji 17p (del17p) lub mutacji w genie TP53 (mut</w:t>
            </w:r>
            <w:r w:rsidR="005E6763" w:rsidRPr="0080193D">
              <w:rPr>
                <w:rFonts w:ascii="Times New Roman" w:hAnsi="Times New Roman" w:cs="Times New Roman"/>
                <w:i/>
                <w:iCs/>
                <w:sz w:val="20"/>
                <w:szCs w:val="20"/>
              </w:rPr>
              <w:t>TP53</w:t>
            </w:r>
            <w:r w:rsidR="005E6763" w:rsidRPr="0080193D">
              <w:rPr>
                <w:rFonts w:ascii="Times New Roman" w:hAnsi="Times New Roman" w:cs="Times New Roman"/>
                <w:sz w:val="20"/>
                <w:szCs w:val="20"/>
              </w:rPr>
              <w:t xml:space="preserve">) lub statusu mutacji w genach </w:t>
            </w:r>
            <w:proofErr w:type="spellStart"/>
            <w:r w:rsidR="005E6763" w:rsidRPr="0080193D">
              <w:rPr>
                <w:rFonts w:ascii="Times New Roman" w:hAnsi="Times New Roman" w:cs="Times New Roman"/>
                <w:i/>
                <w:iCs/>
                <w:sz w:val="20"/>
                <w:szCs w:val="20"/>
              </w:rPr>
              <w:t>IgHV</w:t>
            </w:r>
            <w:proofErr w:type="spellEnd"/>
            <w:r w:rsidRPr="0080193D">
              <w:rPr>
                <w:rFonts w:ascii="Times New Roman" w:hAnsi="Times New Roman" w:cs="Times New Roman"/>
                <w:i/>
                <w:iCs/>
                <w:sz w:val="20"/>
                <w:szCs w:val="20"/>
              </w:rPr>
              <w:t>,</w:t>
            </w:r>
            <w:r w:rsidRPr="0080193D">
              <w:rPr>
                <w:rFonts w:ascii="Times New Roman" w:hAnsi="Times New Roman" w:cs="Times New Roman"/>
                <w:sz w:val="20"/>
                <w:szCs w:val="20"/>
              </w:rPr>
              <w:t xml:space="preserve"> </w:t>
            </w:r>
            <w:r w:rsidR="002169B4" w:rsidRPr="0080193D">
              <w:rPr>
                <w:rFonts w:ascii="Times New Roman" w:hAnsi="Times New Roman" w:cs="Times New Roman"/>
                <w:sz w:val="20"/>
                <w:szCs w:val="20"/>
              </w:rPr>
              <w:t>zgodnie z kryteriami włączenia do poszczególnych schematów leczenia. Ww</w:t>
            </w:r>
            <w:r w:rsidR="00F136B5" w:rsidRPr="0080193D">
              <w:rPr>
                <w:rFonts w:ascii="Times New Roman" w:hAnsi="Times New Roman" w:cs="Times New Roman"/>
                <w:sz w:val="20"/>
                <w:szCs w:val="20"/>
              </w:rPr>
              <w:t>.</w:t>
            </w:r>
            <w:r w:rsidR="002169B4" w:rsidRPr="0080193D">
              <w:rPr>
                <w:rFonts w:ascii="Times New Roman" w:hAnsi="Times New Roman" w:cs="Times New Roman"/>
                <w:sz w:val="20"/>
                <w:szCs w:val="20"/>
              </w:rPr>
              <w:t xml:space="preserve"> badania należy wykonać</w:t>
            </w:r>
            <w:r w:rsidR="0067254F" w:rsidRPr="0080193D">
              <w:rPr>
                <w:rFonts w:ascii="Times New Roman" w:hAnsi="Times New Roman" w:cs="Times New Roman"/>
                <w:sz w:val="20"/>
                <w:szCs w:val="20"/>
              </w:rPr>
              <w:t>,</w:t>
            </w:r>
            <w:r w:rsidR="002169B4" w:rsidRPr="0080193D">
              <w:rPr>
                <w:rFonts w:ascii="Times New Roman" w:hAnsi="Times New Roman" w:cs="Times New Roman"/>
                <w:sz w:val="20"/>
                <w:szCs w:val="20"/>
              </w:rPr>
              <w:t xml:space="preserve"> </w:t>
            </w:r>
            <w:r w:rsidRPr="0080193D">
              <w:rPr>
                <w:rFonts w:ascii="Times New Roman" w:hAnsi="Times New Roman" w:cs="Times New Roman"/>
                <w:sz w:val="20"/>
                <w:szCs w:val="20"/>
              </w:rPr>
              <w:t>o ile badanie uprzednio wykonane nie wykazało obecności ww</w:t>
            </w:r>
            <w:r w:rsidR="00F136B5" w:rsidRPr="0080193D">
              <w:rPr>
                <w:rFonts w:ascii="Times New Roman" w:hAnsi="Times New Roman" w:cs="Times New Roman"/>
                <w:sz w:val="20"/>
                <w:szCs w:val="20"/>
              </w:rPr>
              <w:t>.</w:t>
            </w:r>
            <w:r w:rsidR="0067254F" w:rsidRPr="0080193D">
              <w:rPr>
                <w:rFonts w:ascii="Times New Roman" w:hAnsi="Times New Roman" w:cs="Times New Roman"/>
                <w:sz w:val="20"/>
                <w:szCs w:val="20"/>
              </w:rPr>
              <w:t xml:space="preserve"> </w:t>
            </w:r>
            <w:r w:rsidR="002169B4" w:rsidRPr="0080193D">
              <w:rPr>
                <w:rFonts w:ascii="Times New Roman" w:hAnsi="Times New Roman" w:cs="Times New Roman"/>
                <w:sz w:val="20"/>
                <w:szCs w:val="20"/>
              </w:rPr>
              <w:t>zaburzeń genetycznych</w:t>
            </w:r>
            <w:r w:rsidR="007E08AD">
              <w:rPr>
                <w:rFonts w:ascii="Times New Roman" w:hAnsi="Times New Roman" w:cs="Times New Roman"/>
                <w:sz w:val="20"/>
                <w:szCs w:val="20"/>
              </w:rPr>
              <w:t>,</w:t>
            </w:r>
          </w:p>
          <w:p w14:paraId="613FF1D1" w14:textId="3212D5DA" w:rsidR="005F27E6"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ocena wydolności nerek i wątroby (kreatynina, </w:t>
            </w:r>
            <w:proofErr w:type="spellStart"/>
            <w:r w:rsidRPr="0080193D">
              <w:rPr>
                <w:rFonts w:ascii="Times New Roman" w:hAnsi="Times New Roman" w:cs="Times New Roman"/>
                <w:sz w:val="20"/>
                <w:szCs w:val="20"/>
              </w:rPr>
              <w:t>eGFR</w:t>
            </w:r>
            <w:proofErr w:type="spellEnd"/>
            <w:r w:rsidRPr="0080193D">
              <w:rPr>
                <w:rFonts w:ascii="Times New Roman" w:hAnsi="Times New Roman" w:cs="Times New Roman"/>
                <w:sz w:val="20"/>
                <w:szCs w:val="20"/>
              </w:rPr>
              <w:t>, kwas moczowy, AST, ALT, bilirubina całkowita</w:t>
            </w:r>
            <w:r w:rsidR="005E6763" w:rsidRPr="0080193D">
              <w:rPr>
                <w:rFonts w:ascii="Times New Roman" w:hAnsi="Times New Roman" w:cs="Times New Roman"/>
                <w:sz w:val="20"/>
                <w:szCs w:val="20"/>
              </w:rPr>
              <w:t xml:space="preserve">, </w:t>
            </w:r>
            <w:r w:rsidR="005F27E6" w:rsidRPr="0080193D">
              <w:rPr>
                <w:rFonts w:ascii="Times New Roman" w:hAnsi="Times New Roman" w:cs="Times New Roman"/>
                <w:sz w:val="20"/>
                <w:szCs w:val="20"/>
              </w:rPr>
              <w:t>LDH)</w:t>
            </w:r>
            <w:r w:rsidR="007E08AD">
              <w:rPr>
                <w:rFonts w:ascii="Times New Roman" w:hAnsi="Times New Roman" w:cs="Times New Roman"/>
                <w:sz w:val="20"/>
                <w:szCs w:val="20"/>
              </w:rPr>
              <w:t>,</w:t>
            </w:r>
          </w:p>
          <w:p w14:paraId="33BE425E" w14:textId="1FCEA21B" w:rsidR="004A50DE" w:rsidRPr="0080193D" w:rsidRDefault="005E6763"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stężenie albumin</w:t>
            </w:r>
            <w:r w:rsidR="005F27E6" w:rsidRPr="0080193D">
              <w:rPr>
                <w:rFonts w:ascii="Times New Roman" w:hAnsi="Times New Roman" w:cs="Times New Roman"/>
                <w:sz w:val="20"/>
                <w:szCs w:val="20"/>
              </w:rPr>
              <w:t xml:space="preserve"> i </w:t>
            </w:r>
            <w:r w:rsidRPr="0080193D">
              <w:rPr>
                <w:rFonts w:ascii="Times New Roman" w:hAnsi="Times New Roman" w:cs="Times New Roman"/>
                <w:sz w:val="20"/>
                <w:szCs w:val="20"/>
              </w:rPr>
              <w:t xml:space="preserve">czas </w:t>
            </w:r>
            <w:proofErr w:type="spellStart"/>
            <w:r w:rsidRPr="0080193D">
              <w:rPr>
                <w:rFonts w:ascii="Times New Roman" w:hAnsi="Times New Roman" w:cs="Times New Roman"/>
                <w:sz w:val="20"/>
                <w:szCs w:val="20"/>
              </w:rPr>
              <w:t>protrombinowy</w:t>
            </w:r>
            <w:proofErr w:type="spellEnd"/>
            <w:r w:rsidR="005F27E6" w:rsidRPr="0080193D">
              <w:rPr>
                <w:rFonts w:ascii="Times New Roman" w:hAnsi="Times New Roman" w:cs="Times New Roman"/>
                <w:sz w:val="20"/>
                <w:szCs w:val="20"/>
              </w:rPr>
              <w:t xml:space="preserve"> </w:t>
            </w:r>
            <w:r w:rsidR="00F136B5" w:rsidRPr="0080193D">
              <w:rPr>
                <w:rFonts w:ascii="Times New Roman" w:hAnsi="Times New Roman" w:cs="Times New Roman"/>
                <w:sz w:val="20"/>
                <w:szCs w:val="20"/>
              </w:rPr>
              <w:t xml:space="preserve">– w </w:t>
            </w:r>
            <w:r w:rsidR="005F27E6" w:rsidRPr="0080193D">
              <w:rPr>
                <w:rFonts w:ascii="Times New Roman" w:hAnsi="Times New Roman" w:cs="Times New Roman"/>
                <w:sz w:val="20"/>
                <w:szCs w:val="20"/>
              </w:rPr>
              <w:t>przypadku leczeni</w:t>
            </w:r>
            <w:r w:rsidR="00F136B5" w:rsidRPr="0080193D">
              <w:rPr>
                <w:rFonts w:ascii="Times New Roman" w:hAnsi="Times New Roman" w:cs="Times New Roman"/>
                <w:sz w:val="20"/>
                <w:szCs w:val="20"/>
              </w:rPr>
              <w:t>a</w:t>
            </w:r>
            <w:r w:rsidR="005F27E6" w:rsidRPr="0080193D">
              <w:rPr>
                <w:rFonts w:ascii="Times New Roman" w:hAnsi="Times New Roman" w:cs="Times New Roman"/>
                <w:sz w:val="20"/>
                <w:szCs w:val="20"/>
              </w:rPr>
              <w:t xml:space="preserve"> </w:t>
            </w:r>
            <w:proofErr w:type="spellStart"/>
            <w:r w:rsidR="005F27E6" w:rsidRPr="0080193D">
              <w:rPr>
                <w:rFonts w:ascii="Times New Roman" w:hAnsi="Times New Roman" w:cs="Times New Roman"/>
                <w:sz w:val="20"/>
                <w:szCs w:val="20"/>
              </w:rPr>
              <w:t>ibrutynibem</w:t>
            </w:r>
            <w:proofErr w:type="spellEnd"/>
            <w:r w:rsidR="005F27E6" w:rsidRPr="0080193D">
              <w:rPr>
                <w:rFonts w:ascii="Times New Roman" w:hAnsi="Times New Roman" w:cs="Times New Roman"/>
                <w:sz w:val="20"/>
                <w:szCs w:val="20"/>
              </w:rPr>
              <w:t xml:space="preserve"> lub </w:t>
            </w:r>
            <w:proofErr w:type="spellStart"/>
            <w:r w:rsidR="005F27E6" w:rsidRPr="0080193D">
              <w:rPr>
                <w:rFonts w:ascii="Times New Roman" w:hAnsi="Times New Roman" w:cs="Times New Roman"/>
                <w:sz w:val="20"/>
                <w:szCs w:val="20"/>
              </w:rPr>
              <w:t>akalabrutynibem</w:t>
            </w:r>
            <w:proofErr w:type="spellEnd"/>
            <w:r w:rsidR="004A50DE" w:rsidRPr="0080193D">
              <w:rPr>
                <w:rFonts w:ascii="Times New Roman" w:hAnsi="Times New Roman" w:cs="Times New Roman"/>
                <w:sz w:val="20"/>
                <w:szCs w:val="20"/>
              </w:rPr>
              <w:t>,</w:t>
            </w:r>
          </w:p>
          <w:p w14:paraId="4CD22FCB" w14:textId="552D9F4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stężenie potasu, stężenie fosforanów, stężenie wapnia</w:t>
            </w:r>
            <w:r w:rsidR="00F136B5" w:rsidRPr="0080193D">
              <w:rPr>
                <w:rFonts w:ascii="Times New Roman" w:hAnsi="Times New Roman" w:cs="Times New Roman"/>
                <w:sz w:val="20"/>
                <w:szCs w:val="20"/>
              </w:rPr>
              <w:t xml:space="preserve"> – </w:t>
            </w:r>
            <w:r w:rsidR="005F27E6" w:rsidRPr="0080193D">
              <w:rPr>
                <w:rFonts w:ascii="Times New Roman" w:hAnsi="Times New Roman" w:cs="Times New Roman"/>
                <w:sz w:val="20"/>
                <w:szCs w:val="20"/>
              </w:rPr>
              <w:t xml:space="preserve">w przypadku leczenia </w:t>
            </w:r>
            <w:proofErr w:type="spellStart"/>
            <w:r w:rsidR="005F27E6" w:rsidRPr="0080193D">
              <w:rPr>
                <w:rFonts w:ascii="Times New Roman" w:hAnsi="Times New Roman" w:cs="Times New Roman"/>
                <w:i/>
                <w:iCs/>
                <w:sz w:val="20"/>
                <w:szCs w:val="20"/>
              </w:rPr>
              <w:t>wenetoklaksem</w:t>
            </w:r>
            <w:proofErr w:type="spellEnd"/>
            <w:r w:rsidR="0067254F" w:rsidRPr="0080193D">
              <w:rPr>
                <w:rFonts w:ascii="Times New Roman" w:hAnsi="Times New Roman" w:cs="Times New Roman"/>
                <w:i/>
                <w:iCs/>
                <w:sz w:val="20"/>
                <w:szCs w:val="20"/>
              </w:rPr>
              <w:t xml:space="preserve"> w </w:t>
            </w:r>
            <w:proofErr w:type="spellStart"/>
            <w:r w:rsidR="0067254F" w:rsidRPr="0080193D">
              <w:rPr>
                <w:rFonts w:ascii="Times New Roman" w:hAnsi="Times New Roman" w:cs="Times New Roman"/>
                <w:i/>
                <w:iCs/>
                <w:sz w:val="20"/>
                <w:szCs w:val="20"/>
              </w:rPr>
              <w:t>monoterapii</w:t>
            </w:r>
            <w:proofErr w:type="spellEnd"/>
            <w:r w:rsidR="005F27E6" w:rsidRPr="0080193D">
              <w:rPr>
                <w:rFonts w:ascii="Times New Roman" w:hAnsi="Times New Roman" w:cs="Times New Roman"/>
                <w:sz w:val="20"/>
                <w:szCs w:val="20"/>
              </w:rPr>
              <w:t xml:space="preserve"> lub </w:t>
            </w:r>
            <w:proofErr w:type="spellStart"/>
            <w:r w:rsidR="005F27E6" w:rsidRPr="0080193D">
              <w:rPr>
                <w:rFonts w:ascii="Times New Roman" w:hAnsi="Times New Roman" w:cs="Times New Roman"/>
                <w:sz w:val="20"/>
                <w:szCs w:val="20"/>
              </w:rPr>
              <w:t>wenetoklaksem</w:t>
            </w:r>
            <w:proofErr w:type="spellEnd"/>
            <w:r w:rsidR="005F27E6" w:rsidRPr="0080193D">
              <w:rPr>
                <w:rFonts w:ascii="Times New Roman" w:hAnsi="Times New Roman" w:cs="Times New Roman"/>
                <w:sz w:val="20"/>
                <w:szCs w:val="20"/>
              </w:rPr>
              <w:t xml:space="preserve"> w połączeniu z przeciwciałem anty-CD20</w:t>
            </w:r>
            <w:r w:rsidRPr="0080193D">
              <w:rPr>
                <w:rFonts w:ascii="Times New Roman" w:hAnsi="Times New Roman" w:cs="Times New Roman"/>
                <w:sz w:val="20"/>
                <w:szCs w:val="20"/>
              </w:rPr>
              <w:t>,</w:t>
            </w:r>
          </w:p>
          <w:p w14:paraId="57AC9218" w14:textId="7777777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ocena stopnia zaawansowania klinicznego wg klasyfikacji </w:t>
            </w:r>
            <w:proofErr w:type="spellStart"/>
            <w:r w:rsidRPr="0080193D">
              <w:rPr>
                <w:rFonts w:ascii="Times New Roman" w:hAnsi="Times New Roman" w:cs="Times New Roman"/>
                <w:sz w:val="20"/>
                <w:szCs w:val="20"/>
              </w:rPr>
              <w:t>Rai'a</w:t>
            </w:r>
            <w:proofErr w:type="spellEnd"/>
            <w:r w:rsidRPr="0080193D">
              <w:rPr>
                <w:rFonts w:ascii="Times New Roman" w:hAnsi="Times New Roman" w:cs="Times New Roman"/>
                <w:sz w:val="20"/>
                <w:szCs w:val="20"/>
              </w:rPr>
              <w:t xml:space="preserve"> lub </w:t>
            </w:r>
            <w:proofErr w:type="spellStart"/>
            <w:r w:rsidRPr="0080193D">
              <w:rPr>
                <w:rFonts w:ascii="Times New Roman" w:hAnsi="Times New Roman" w:cs="Times New Roman"/>
                <w:sz w:val="20"/>
                <w:szCs w:val="20"/>
              </w:rPr>
              <w:t>Bineta</w:t>
            </w:r>
            <w:proofErr w:type="spellEnd"/>
            <w:r w:rsidRPr="0080193D">
              <w:rPr>
                <w:rFonts w:ascii="Times New Roman" w:hAnsi="Times New Roman" w:cs="Times New Roman"/>
                <w:sz w:val="20"/>
                <w:szCs w:val="20"/>
              </w:rPr>
              <w:t>,</w:t>
            </w:r>
          </w:p>
          <w:p w14:paraId="05EC4104" w14:textId="7B757B6D"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masy guza</w:t>
            </w:r>
            <w:r w:rsidR="00DF74D4" w:rsidRPr="0080193D">
              <w:rPr>
                <w:rFonts w:ascii="Times New Roman" w:hAnsi="Times New Roman" w:cs="Times New Roman"/>
                <w:sz w:val="20"/>
                <w:szCs w:val="20"/>
              </w:rPr>
              <w:t xml:space="preserve"> z zastosowaniem badań</w:t>
            </w:r>
            <w:r w:rsidRPr="0080193D">
              <w:rPr>
                <w:rFonts w:ascii="Times New Roman" w:hAnsi="Times New Roman" w:cs="Times New Roman"/>
                <w:sz w:val="20"/>
                <w:szCs w:val="20"/>
              </w:rPr>
              <w:t xml:space="preserve"> obrazow</w:t>
            </w:r>
            <w:r w:rsidR="00DF74D4" w:rsidRPr="0080193D">
              <w:rPr>
                <w:rFonts w:ascii="Times New Roman" w:hAnsi="Times New Roman" w:cs="Times New Roman"/>
                <w:sz w:val="20"/>
                <w:szCs w:val="20"/>
              </w:rPr>
              <w:t>ych</w:t>
            </w:r>
            <w:r w:rsidRPr="0080193D">
              <w:rPr>
                <w:rFonts w:ascii="Times New Roman" w:hAnsi="Times New Roman" w:cs="Times New Roman"/>
                <w:sz w:val="20"/>
                <w:szCs w:val="20"/>
              </w:rPr>
              <w:t xml:space="preserve"> (USG j. brzusznej i RTG klatki piersiowej albo w przypadkach uzasadnionych klinicznie TK lub MRI – wybór rodzaju badań do decyzji lekarza),</w:t>
            </w:r>
          </w:p>
          <w:p w14:paraId="26E23FAB" w14:textId="7777777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nasilenia objawów chorób towarzyszących wg skali CIRS;</w:t>
            </w:r>
          </w:p>
          <w:p w14:paraId="73721748" w14:textId="2D03F90F"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przesiewowe badanie w kierunku obecności wirusowego zapalenia wątroby typu B (w tym HBsAg, HBcAb);</w:t>
            </w:r>
          </w:p>
          <w:p w14:paraId="0C768EE4" w14:textId="44931A44" w:rsidR="00CB7324" w:rsidRPr="0080193D" w:rsidRDefault="00CB7324"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przesiewowe </w:t>
            </w:r>
            <w:r w:rsidR="00653DA7" w:rsidRPr="0080193D">
              <w:rPr>
                <w:rFonts w:ascii="Times New Roman" w:hAnsi="Times New Roman" w:cs="Times New Roman"/>
                <w:sz w:val="20"/>
                <w:szCs w:val="20"/>
              </w:rPr>
              <w:t xml:space="preserve">badanie </w:t>
            </w:r>
            <w:r w:rsidRPr="0080193D">
              <w:rPr>
                <w:rFonts w:ascii="Times New Roman" w:hAnsi="Times New Roman" w:cs="Times New Roman"/>
                <w:sz w:val="20"/>
                <w:szCs w:val="20"/>
              </w:rPr>
              <w:t>w kierunku obecności wirusowego zapalenia wątroby C</w:t>
            </w:r>
            <w:r w:rsidR="00653DA7" w:rsidRPr="0080193D">
              <w:rPr>
                <w:rFonts w:ascii="Times New Roman" w:hAnsi="Times New Roman" w:cs="Times New Roman"/>
                <w:sz w:val="20"/>
                <w:szCs w:val="20"/>
              </w:rPr>
              <w:t xml:space="preserve"> (w tym </w:t>
            </w:r>
            <w:r w:rsidRPr="0080193D">
              <w:rPr>
                <w:rFonts w:ascii="Times New Roman" w:hAnsi="Times New Roman" w:cs="Times New Roman"/>
                <w:sz w:val="20"/>
                <w:szCs w:val="20"/>
              </w:rPr>
              <w:t>na obecność przeciwciał anty-HCV</w:t>
            </w:r>
            <w:r w:rsidR="00653DA7" w:rsidRPr="0080193D">
              <w:rPr>
                <w:rFonts w:ascii="Times New Roman" w:hAnsi="Times New Roman" w:cs="Times New Roman"/>
                <w:sz w:val="20"/>
                <w:szCs w:val="20"/>
              </w:rPr>
              <w:t>);</w:t>
            </w:r>
          </w:p>
          <w:p w14:paraId="37224C27" w14:textId="0939685A" w:rsidR="00C5381E" w:rsidRPr="0080193D" w:rsidRDefault="00C5381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EKG;</w:t>
            </w:r>
          </w:p>
          <w:p w14:paraId="7AF42368" w14:textId="24E082F5"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test ciążowy</w:t>
            </w:r>
            <w:r w:rsidR="00CB7324" w:rsidRPr="0080193D">
              <w:rPr>
                <w:rFonts w:ascii="Times New Roman" w:hAnsi="Times New Roman" w:cs="Times New Roman"/>
                <w:sz w:val="20"/>
                <w:szCs w:val="20"/>
              </w:rPr>
              <w:t xml:space="preserve"> (u kobiet w wieku rozrodczym).</w:t>
            </w:r>
          </w:p>
          <w:p w14:paraId="5BF96001" w14:textId="77777777" w:rsidR="00075B4B" w:rsidRPr="0080193D" w:rsidRDefault="00075B4B" w:rsidP="0080193D">
            <w:pPr>
              <w:rPr>
                <w:rFonts w:ascii="Times New Roman" w:eastAsia="Times New Roman" w:hAnsi="Times New Roman" w:cs="Times New Roman"/>
                <w:b/>
                <w:bCs/>
                <w:color w:val="000000"/>
                <w:sz w:val="20"/>
                <w:szCs w:val="20"/>
                <w:lang w:eastAsia="pl-PL"/>
              </w:rPr>
            </w:pPr>
          </w:p>
          <w:p w14:paraId="0B4FB93B" w14:textId="4529204C" w:rsidR="00992176" w:rsidRPr="0080193D" w:rsidRDefault="009C2DB3" w:rsidP="007E08AD">
            <w:pPr>
              <w:pStyle w:val="Akapitzlist"/>
              <w:numPr>
                <w:ilvl w:val="0"/>
                <w:numId w:val="37"/>
              </w:numPr>
              <w:autoSpaceDE w:val="0"/>
              <w:autoSpaceDN w:val="0"/>
              <w:adjustRightInd w:val="0"/>
              <w:contextualSpacing w:val="0"/>
              <w:rPr>
                <w:rFonts w:ascii="Times New Roman" w:hAnsi="Times New Roman" w:cs="Times New Roman"/>
                <w:b/>
                <w:sz w:val="20"/>
                <w:szCs w:val="20"/>
              </w:rPr>
            </w:pPr>
            <w:r w:rsidRPr="0080193D">
              <w:rPr>
                <w:rFonts w:ascii="Times New Roman" w:hAnsi="Times New Roman" w:cs="Times New Roman"/>
                <w:b/>
                <w:sz w:val="20"/>
                <w:szCs w:val="20"/>
              </w:rPr>
              <w:t>Monitorowanie</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leczenia</w:t>
            </w:r>
          </w:p>
          <w:p w14:paraId="357992B3" w14:textId="7DBB81E6" w:rsidR="00E22859" w:rsidRPr="0080193D" w:rsidRDefault="00BD2397" w:rsidP="007E08AD">
            <w:pPr>
              <w:pStyle w:val="Akapitzlist"/>
              <w:numPr>
                <w:ilvl w:val="1"/>
                <w:numId w:val="37"/>
              </w:numPr>
              <w:autoSpaceDE w:val="0"/>
              <w:autoSpaceDN w:val="0"/>
              <w:adjustRightInd w:val="0"/>
              <w:contextualSpacing w:val="0"/>
              <w:rPr>
                <w:rFonts w:ascii="Times New Roman" w:hAnsi="Times New Roman" w:cs="Times New Roman"/>
                <w:b/>
                <w:bCs/>
                <w:sz w:val="20"/>
                <w:szCs w:val="20"/>
              </w:rPr>
            </w:pPr>
            <w:proofErr w:type="spellStart"/>
            <w:r w:rsidRPr="0080193D">
              <w:rPr>
                <w:rFonts w:ascii="Times New Roman" w:hAnsi="Times New Roman" w:cs="Times New Roman"/>
                <w:b/>
                <w:bCs/>
                <w:i/>
                <w:iCs/>
                <w:sz w:val="20"/>
                <w:szCs w:val="20"/>
              </w:rPr>
              <w:t>i</w:t>
            </w:r>
            <w:r w:rsidR="00E22859" w:rsidRPr="0080193D">
              <w:rPr>
                <w:rFonts w:ascii="Times New Roman" w:hAnsi="Times New Roman" w:cs="Times New Roman"/>
                <w:b/>
                <w:bCs/>
                <w:i/>
                <w:iCs/>
                <w:sz w:val="20"/>
                <w:szCs w:val="20"/>
              </w:rPr>
              <w:t>brutynib</w:t>
            </w:r>
            <w:proofErr w:type="spellEnd"/>
            <w:r w:rsidRPr="0080193D">
              <w:rPr>
                <w:rFonts w:ascii="Times New Roman" w:hAnsi="Times New Roman" w:cs="Times New Roman"/>
                <w:b/>
                <w:bCs/>
                <w:i/>
                <w:iCs/>
                <w:sz w:val="20"/>
                <w:szCs w:val="20"/>
              </w:rPr>
              <w:t xml:space="preserve"> w </w:t>
            </w:r>
            <w:proofErr w:type="spellStart"/>
            <w:r w:rsidRPr="0080193D">
              <w:rPr>
                <w:rFonts w:ascii="Times New Roman" w:hAnsi="Times New Roman" w:cs="Times New Roman"/>
                <w:b/>
                <w:bCs/>
                <w:i/>
                <w:iCs/>
                <w:sz w:val="20"/>
                <w:szCs w:val="20"/>
              </w:rPr>
              <w:t>monoterapii</w:t>
            </w:r>
            <w:proofErr w:type="spellEnd"/>
            <w:r w:rsidRPr="0080193D">
              <w:rPr>
                <w:rFonts w:ascii="Times New Roman" w:hAnsi="Times New Roman" w:cs="Times New Roman"/>
                <w:b/>
                <w:bCs/>
                <w:i/>
                <w:iCs/>
                <w:sz w:val="20"/>
                <w:szCs w:val="20"/>
              </w:rPr>
              <w:t xml:space="preserve"> </w:t>
            </w:r>
            <w:r w:rsidRPr="0080193D">
              <w:rPr>
                <w:rFonts w:ascii="Times New Roman" w:hAnsi="Times New Roman" w:cs="Times New Roman"/>
                <w:b/>
                <w:bCs/>
                <w:sz w:val="20"/>
                <w:szCs w:val="20"/>
              </w:rPr>
              <w:t>lub</w:t>
            </w:r>
            <w:r w:rsidR="002D32C4" w:rsidRPr="0080193D">
              <w:rPr>
                <w:rFonts w:ascii="Times New Roman" w:hAnsi="Times New Roman" w:cs="Times New Roman"/>
                <w:b/>
                <w:bCs/>
                <w:i/>
                <w:iCs/>
                <w:sz w:val="20"/>
                <w:szCs w:val="20"/>
              </w:rPr>
              <w:t xml:space="preserve"> </w:t>
            </w:r>
            <w:proofErr w:type="spellStart"/>
            <w:r w:rsidR="002D32C4" w:rsidRPr="0080193D">
              <w:rPr>
                <w:rFonts w:ascii="Times New Roman" w:hAnsi="Times New Roman" w:cs="Times New Roman"/>
                <w:b/>
                <w:bCs/>
                <w:i/>
                <w:iCs/>
                <w:sz w:val="20"/>
                <w:szCs w:val="20"/>
              </w:rPr>
              <w:t>akalabrutynib</w:t>
            </w:r>
            <w:proofErr w:type="spellEnd"/>
            <w:r w:rsidR="002D32C4" w:rsidRPr="0080193D">
              <w:rPr>
                <w:rFonts w:ascii="Times New Roman" w:hAnsi="Times New Roman" w:cs="Times New Roman"/>
                <w:b/>
                <w:bCs/>
                <w:i/>
                <w:iCs/>
                <w:sz w:val="20"/>
                <w:szCs w:val="20"/>
              </w:rPr>
              <w:t xml:space="preserve"> </w:t>
            </w:r>
            <w:r w:rsidR="00E22859" w:rsidRPr="0080193D">
              <w:rPr>
                <w:rFonts w:ascii="Times New Roman" w:hAnsi="Times New Roman" w:cs="Times New Roman"/>
                <w:b/>
                <w:bCs/>
                <w:i/>
                <w:iCs/>
                <w:sz w:val="20"/>
                <w:szCs w:val="20"/>
              </w:rPr>
              <w:t xml:space="preserve">w </w:t>
            </w:r>
            <w:proofErr w:type="spellStart"/>
            <w:r w:rsidR="00E22859" w:rsidRPr="0080193D">
              <w:rPr>
                <w:rFonts w:ascii="Times New Roman" w:hAnsi="Times New Roman" w:cs="Times New Roman"/>
                <w:b/>
                <w:bCs/>
                <w:i/>
                <w:iCs/>
                <w:sz w:val="20"/>
                <w:szCs w:val="20"/>
              </w:rPr>
              <w:t>monoterapii</w:t>
            </w:r>
            <w:proofErr w:type="spellEnd"/>
          </w:p>
          <w:p w14:paraId="0E21527A" w14:textId="10D9BC4C" w:rsidR="00E22859" w:rsidRPr="0080193D" w:rsidRDefault="00C01303"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w:t>
            </w:r>
            <w:r w:rsidR="00092CD1" w:rsidRPr="0080193D">
              <w:rPr>
                <w:rFonts w:ascii="Times New Roman" w:hAnsi="Times New Roman" w:cs="Times New Roman"/>
                <w:sz w:val="20"/>
                <w:szCs w:val="20"/>
              </w:rPr>
              <w:t>e</w:t>
            </w:r>
            <w:r w:rsidRPr="0080193D">
              <w:rPr>
                <w:rFonts w:ascii="Times New Roman" w:hAnsi="Times New Roman" w:cs="Times New Roman"/>
                <w:sz w:val="20"/>
                <w:szCs w:val="20"/>
              </w:rPr>
              <w:t xml:space="preserve"> wykonywane 1 </w:t>
            </w:r>
            <w:r w:rsidR="00E22859" w:rsidRPr="0080193D">
              <w:rPr>
                <w:rFonts w:ascii="Times New Roman" w:hAnsi="Times New Roman" w:cs="Times New Roman"/>
                <w:sz w:val="20"/>
                <w:szCs w:val="20"/>
              </w:rPr>
              <w:t>raz w miesiąc</w:t>
            </w:r>
            <w:r w:rsidR="00BD2397" w:rsidRPr="0080193D">
              <w:rPr>
                <w:rFonts w:ascii="Times New Roman" w:hAnsi="Times New Roman" w:cs="Times New Roman"/>
                <w:sz w:val="20"/>
                <w:szCs w:val="20"/>
              </w:rPr>
              <w:t>u przez pierwsze 6 miesięcy terapii, a następnie co najmniej 1 raz na 3 miesiące</w:t>
            </w:r>
            <w:r w:rsidR="00F502DB" w:rsidRPr="0080193D">
              <w:rPr>
                <w:rFonts w:ascii="Times New Roman" w:hAnsi="Times New Roman" w:cs="Times New Roman"/>
                <w:sz w:val="20"/>
                <w:szCs w:val="20"/>
              </w:rPr>
              <w:t>:</w:t>
            </w:r>
          </w:p>
          <w:p w14:paraId="6E22B28D" w14:textId="77777777" w:rsidR="00BD2397"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morfologia krwi obwodowej </w:t>
            </w:r>
            <w:r w:rsidR="00BD2397" w:rsidRPr="0080193D">
              <w:rPr>
                <w:rFonts w:ascii="Times New Roman" w:hAnsi="Times New Roman" w:cs="Times New Roman"/>
                <w:sz w:val="20"/>
                <w:szCs w:val="20"/>
              </w:rPr>
              <w:t>z rozmazem;</w:t>
            </w:r>
          </w:p>
          <w:p w14:paraId="22F49697" w14:textId="5D2A6732" w:rsidR="00E22859" w:rsidRPr="0080193D" w:rsidRDefault="00C01303"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badania wykonywane co 3 miesiące:</w:t>
            </w:r>
          </w:p>
          <w:p w14:paraId="58951F9E" w14:textId="77777777" w:rsidR="00BD2397" w:rsidRPr="0080193D" w:rsidRDefault="00C01303"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aktywność AST, ALT, stężenie bilirubiny całkowitej</w:t>
            </w:r>
            <w:r w:rsidR="00BD2397" w:rsidRPr="0080193D">
              <w:rPr>
                <w:rFonts w:ascii="Times New Roman" w:hAnsi="Times New Roman" w:cs="Times New Roman"/>
                <w:sz w:val="20"/>
                <w:szCs w:val="20"/>
              </w:rPr>
              <w:t>;</w:t>
            </w:r>
          </w:p>
          <w:p w14:paraId="0600BADF" w14:textId="3B63A86B" w:rsidR="00C01303" w:rsidRPr="0080193D" w:rsidRDefault="00C01303"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zgodnie z aktualną na dzień wydania decyzji Charakterystyką Produktu Leczniczego</w:t>
            </w:r>
            <w:r w:rsidR="00092CD1" w:rsidRPr="0080193D">
              <w:rPr>
                <w:rFonts w:ascii="Times New Roman" w:hAnsi="Times New Roman" w:cs="Times New Roman"/>
                <w:sz w:val="20"/>
                <w:szCs w:val="20"/>
              </w:rPr>
              <w:t xml:space="preserve"> okresowe badania</w:t>
            </w:r>
            <w:r w:rsidRPr="0080193D">
              <w:rPr>
                <w:rFonts w:ascii="Times New Roman" w:hAnsi="Times New Roman" w:cs="Times New Roman"/>
                <w:sz w:val="20"/>
                <w:szCs w:val="20"/>
              </w:rPr>
              <w:t>:</w:t>
            </w:r>
          </w:p>
          <w:p w14:paraId="6CE353D4" w14:textId="2D0185A9" w:rsidR="00092CD1" w:rsidRPr="0080193D" w:rsidRDefault="00092CD1"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stężenia kreatyniny u chorych z zaburzeniami czynności nerek,</w:t>
            </w:r>
          </w:p>
          <w:p w14:paraId="5B617A45" w14:textId="58F48EB5" w:rsidR="00E22859" w:rsidRPr="0080193D" w:rsidRDefault="002D32C4"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EKG </w:t>
            </w:r>
            <w:r w:rsidR="00E22859" w:rsidRPr="0080193D">
              <w:rPr>
                <w:rFonts w:ascii="Times New Roman" w:hAnsi="Times New Roman" w:cs="Times New Roman"/>
                <w:sz w:val="20"/>
                <w:szCs w:val="20"/>
              </w:rPr>
              <w:t>w celu wykrycia migotania przedsionków</w:t>
            </w:r>
            <w:r w:rsidR="00092CD1" w:rsidRPr="0080193D">
              <w:rPr>
                <w:rFonts w:ascii="Times New Roman" w:hAnsi="Times New Roman" w:cs="Times New Roman"/>
                <w:sz w:val="20"/>
                <w:szCs w:val="20"/>
              </w:rPr>
              <w:t>.</w:t>
            </w:r>
          </w:p>
          <w:p w14:paraId="3FCBF853" w14:textId="6231C415" w:rsidR="00BA71B0" w:rsidRPr="007E08AD" w:rsidRDefault="00BA71B0" w:rsidP="007E08AD">
            <w:pPr>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 xml:space="preserve">Dopuszczalne jest częstsze monitorowanie </w:t>
            </w:r>
            <w:r w:rsidR="00BD2397" w:rsidRPr="007E08AD">
              <w:rPr>
                <w:rFonts w:ascii="Times New Roman" w:eastAsia="Times New Roman" w:hAnsi="Times New Roman" w:cs="Times New Roman"/>
                <w:sz w:val="20"/>
                <w:szCs w:val="20"/>
                <w:lang w:eastAsia="pl-PL"/>
              </w:rPr>
              <w:br/>
            </w:r>
            <w:r w:rsidRPr="007E08AD">
              <w:rPr>
                <w:rFonts w:ascii="Times New Roman" w:eastAsia="Times New Roman" w:hAnsi="Times New Roman" w:cs="Times New Roman"/>
                <w:sz w:val="20"/>
                <w:szCs w:val="20"/>
                <w:lang w:eastAsia="pl-PL"/>
              </w:rPr>
              <w:t>w zależności od</w:t>
            </w:r>
            <w:r w:rsid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wskazań klinicznych.</w:t>
            </w:r>
          </w:p>
          <w:p w14:paraId="286927BB" w14:textId="77777777" w:rsidR="00353AF3" w:rsidRPr="0080193D" w:rsidRDefault="00353AF3" w:rsidP="0080193D">
            <w:pPr>
              <w:autoSpaceDE w:val="0"/>
              <w:autoSpaceDN w:val="0"/>
              <w:adjustRightInd w:val="0"/>
              <w:rPr>
                <w:rFonts w:ascii="Times New Roman" w:hAnsi="Times New Roman" w:cs="Times New Roman"/>
                <w:sz w:val="20"/>
                <w:szCs w:val="20"/>
              </w:rPr>
            </w:pPr>
          </w:p>
          <w:p w14:paraId="49899765" w14:textId="03508DFD" w:rsidR="00E22859" w:rsidRPr="0080193D" w:rsidRDefault="00E22859" w:rsidP="007E08AD">
            <w:pPr>
              <w:pStyle w:val="Akapitzlist"/>
              <w:numPr>
                <w:ilvl w:val="1"/>
                <w:numId w:val="37"/>
              </w:numPr>
              <w:contextualSpacing w:val="0"/>
              <w:rPr>
                <w:rFonts w:ascii="Times New Roman" w:eastAsia="Times New Roman" w:hAnsi="Times New Roman" w:cs="Times New Roman"/>
                <w:sz w:val="20"/>
                <w:szCs w:val="20"/>
                <w:lang w:eastAsia="pl-PL"/>
              </w:rPr>
            </w:pPr>
            <w:proofErr w:type="spellStart"/>
            <w:r w:rsidRPr="0080193D">
              <w:rPr>
                <w:rFonts w:ascii="Times New Roman" w:hAnsi="Times New Roman" w:cs="Times New Roman"/>
                <w:b/>
                <w:bCs/>
                <w:i/>
                <w:iCs/>
                <w:sz w:val="20"/>
                <w:szCs w:val="20"/>
              </w:rPr>
              <w:t>obinutuzumab</w:t>
            </w:r>
            <w:proofErr w:type="spellEnd"/>
            <w:r w:rsidRPr="0080193D">
              <w:rPr>
                <w:rFonts w:ascii="Times New Roman" w:hAnsi="Times New Roman" w:cs="Times New Roman"/>
                <w:b/>
                <w:bCs/>
                <w:i/>
                <w:iCs/>
                <w:sz w:val="20"/>
                <w:szCs w:val="20"/>
              </w:rPr>
              <w:t xml:space="preserve"> w skojarzeniu z </w:t>
            </w:r>
            <w:proofErr w:type="spellStart"/>
            <w:r w:rsidRPr="0080193D">
              <w:rPr>
                <w:rFonts w:ascii="Times New Roman" w:hAnsi="Times New Roman" w:cs="Times New Roman"/>
                <w:b/>
                <w:bCs/>
                <w:i/>
                <w:iCs/>
                <w:sz w:val="20"/>
                <w:szCs w:val="20"/>
              </w:rPr>
              <w:t>chlorambucylem</w:t>
            </w:r>
            <w:proofErr w:type="spellEnd"/>
            <w:r w:rsidRPr="0080193D">
              <w:rPr>
                <w:rFonts w:ascii="Times New Roman" w:hAnsi="Times New Roman" w:cs="Times New Roman"/>
                <w:b/>
                <w:bCs/>
                <w:sz w:val="20"/>
                <w:szCs w:val="20"/>
              </w:rPr>
              <w:t xml:space="preserve"> </w:t>
            </w:r>
          </w:p>
          <w:p w14:paraId="3E81D0A3" w14:textId="77E9E6AD" w:rsidR="00E22859" w:rsidRPr="0080193D" w:rsidRDefault="00BA71B0"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adania wykonywane przed każdym podaniem leku:</w:t>
            </w:r>
          </w:p>
          <w:p w14:paraId="152DD9FB" w14:textId="02E7EC63" w:rsidR="00E22859"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w:t>
            </w:r>
            <w:r w:rsidR="00BA71B0" w:rsidRPr="0080193D">
              <w:rPr>
                <w:rFonts w:ascii="Times New Roman" w:hAnsi="Times New Roman" w:cs="Times New Roman"/>
                <w:sz w:val="20"/>
                <w:szCs w:val="20"/>
              </w:rPr>
              <w:t>i obwodowej z</w:t>
            </w:r>
            <w:r w:rsidRPr="0080193D">
              <w:rPr>
                <w:rFonts w:ascii="Times New Roman" w:hAnsi="Times New Roman" w:cs="Times New Roman"/>
                <w:sz w:val="20"/>
                <w:szCs w:val="20"/>
              </w:rPr>
              <w:t xml:space="preserve"> rozmazem</w:t>
            </w:r>
            <w:r w:rsidR="007E08AD">
              <w:rPr>
                <w:rFonts w:ascii="Times New Roman" w:hAnsi="Times New Roman" w:cs="Times New Roman"/>
                <w:sz w:val="20"/>
                <w:szCs w:val="20"/>
              </w:rPr>
              <w:t>,</w:t>
            </w:r>
          </w:p>
          <w:p w14:paraId="1B1020B7" w14:textId="4283C3E7" w:rsidR="00E22859" w:rsidRPr="0080193D" w:rsidRDefault="00E22859"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aktywność AST, ALT, stężenie bilirubiny całkowitej</w:t>
            </w:r>
            <w:r w:rsidR="00BA71B0" w:rsidRPr="0080193D">
              <w:rPr>
                <w:rFonts w:ascii="Times New Roman" w:hAnsi="Times New Roman" w:cs="Times New Roman"/>
                <w:sz w:val="20"/>
                <w:szCs w:val="20"/>
              </w:rPr>
              <w:t>, stężenie kreatyniny, stężenie kwasu moczowego</w:t>
            </w:r>
            <w:r w:rsidR="007E08AD">
              <w:rPr>
                <w:rFonts w:ascii="Times New Roman" w:hAnsi="Times New Roman" w:cs="Times New Roman"/>
                <w:sz w:val="20"/>
                <w:szCs w:val="20"/>
              </w:rPr>
              <w:t>.</w:t>
            </w:r>
          </w:p>
          <w:p w14:paraId="67087BCA" w14:textId="77777777" w:rsidR="00E22859" w:rsidRPr="0080193D" w:rsidRDefault="00E22859" w:rsidP="0080193D">
            <w:pPr>
              <w:autoSpaceDE w:val="0"/>
              <w:autoSpaceDN w:val="0"/>
              <w:adjustRightInd w:val="0"/>
              <w:rPr>
                <w:rFonts w:ascii="Times New Roman" w:hAnsi="Times New Roman" w:cs="Times New Roman"/>
                <w:sz w:val="20"/>
                <w:szCs w:val="20"/>
              </w:rPr>
            </w:pPr>
          </w:p>
          <w:p w14:paraId="0F23E233" w14:textId="4162CCAD" w:rsidR="003C365D" w:rsidRPr="0080193D" w:rsidRDefault="00E22859" w:rsidP="007E08AD">
            <w:pPr>
              <w:pStyle w:val="Akapitzlist"/>
              <w:numPr>
                <w:ilvl w:val="1"/>
                <w:numId w:val="37"/>
              </w:numPr>
              <w:autoSpaceDE w:val="0"/>
              <w:autoSpaceDN w:val="0"/>
              <w:adjustRightInd w:val="0"/>
              <w:contextualSpacing w:val="0"/>
              <w:rPr>
                <w:rFonts w:ascii="Times New Roman" w:hAnsi="Times New Roman" w:cs="Times New Roman"/>
                <w:b/>
                <w:bCs/>
                <w:i/>
                <w:iCs/>
                <w:sz w:val="20"/>
                <w:szCs w:val="20"/>
              </w:rPr>
            </w:pPr>
            <w:proofErr w:type="spellStart"/>
            <w:r w:rsidRPr="0080193D">
              <w:rPr>
                <w:rFonts w:ascii="Times New Roman" w:hAnsi="Times New Roman" w:cs="Times New Roman"/>
                <w:b/>
                <w:bCs/>
                <w:i/>
                <w:iCs/>
                <w:sz w:val="20"/>
                <w:szCs w:val="20"/>
              </w:rPr>
              <w:t>wenetoklak</w:t>
            </w:r>
            <w:r w:rsidR="007E08AD">
              <w:rPr>
                <w:rFonts w:ascii="Times New Roman" w:hAnsi="Times New Roman" w:cs="Times New Roman"/>
                <w:b/>
                <w:bCs/>
                <w:i/>
                <w:iCs/>
                <w:sz w:val="20"/>
                <w:szCs w:val="20"/>
              </w:rPr>
              <w:t>s</w:t>
            </w:r>
            <w:proofErr w:type="spellEnd"/>
            <w:r w:rsidRPr="0080193D">
              <w:rPr>
                <w:rFonts w:ascii="Times New Roman" w:hAnsi="Times New Roman" w:cs="Times New Roman"/>
                <w:b/>
                <w:bCs/>
                <w:i/>
                <w:iCs/>
                <w:sz w:val="20"/>
                <w:szCs w:val="20"/>
              </w:rPr>
              <w:t xml:space="preserve"> w skojarzeniu z </w:t>
            </w:r>
            <w:proofErr w:type="spellStart"/>
            <w:r w:rsidRPr="0080193D">
              <w:rPr>
                <w:rFonts w:ascii="Times New Roman" w:hAnsi="Times New Roman" w:cs="Times New Roman"/>
                <w:b/>
                <w:bCs/>
                <w:i/>
                <w:iCs/>
                <w:sz w:val="20"/>
                <w:szCs w:val="20"/>
              </w:rPr>
              <w:t>obinutuzumabem</w:t>
            </w:r>
            <w:proofErr w:type="spellEnd"/>
          </w:p>
          <w:p w14:paraId="4EC3BA88" w14:textId="66FB13D9" w:rsidR="003C365D"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b/>
                <w:bCs/>
                <w:i/>
                <w:iCs/>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w trakcie leczenia </w:t>
            </w:r>
            <w:proofErr w:type="spellStart"/>
            <w:r w:rsidR="00E22859" w:rsidRPr="0080193D">
              <w:rPr>
                <w:rFonts w:ascii="Times New Roman" w:hAnsi="Times New Roman" w:cs="Times New Roman"/>
                <w:sz w:val="20"/>
                <w:szCs w:val="20"/>
              </w:rPr>
              <w:t>obinutuzumabem</w:t>
            </w:r>
            <w:proofErr w:type="spellEnd"/>
            <w:r w:rsidR="00E22859" w:rsidRPr="0080193D">
              <w:rPr>
                <w:rFonts w:ascii="Times New Roman" w:hAnsi="Times New Roman" w:cs="Times New Roman"/>
                <w:sz w:val="20"/>
                <w:szCs w:val="20"/>
              </w:rPr>
              <w:t xml:space="preserve"> i </w:t>
            </w:r>
            <w:proofErr w:type="spellStart"/>
            <w:r w:rsidR="00E22859" w:rsidRPr="0080193D">
              <w:rPr>
                <w:rFonts w:ascii="Times New Roman" w:hAnsi="Times New Roman" w:cs="Times New Roman"/>
                <w:sz w:val="20"/>
                <w:szCs w:val="20"/>
              </w:rPr>
              <w:t>wenetoklaksem</w:t>
            </w:r>
            <w:proofErr w:type="spellEnd"/>
            <w:r w:rsidR="00E22859" w:rsidRPr="0080193D">
              <w:rPr>
                <w:rFonts w:ascii="Times New Roman" w:hAnsi="Times New Roman" w:cs="Times New Roman"/>
                <w:sz w:val="20"/>
                <w:szCs w:val="20"/>
              </w:rPr>
              <w:t xml:space="preserve"> (cykle 1-6) – przed każdym podaniem </w:t>
            </w:r>
            <w:proofErr w:type="spellStart"/>
            <w:r w:rsidR="00E22859" w:rsidRPr="0080193D">
              <w:rPr>
                <w:rFonts w:ascii="Times New Roman" w:hAnsi="Times New Roman" w:cs="Times New Roman"/>
                <w:sz w:val="20"/>
                <w:szCs w:val="20"/>
              </w:rPr>
              <w:t>obinutuzumab</w:t>
            </w:r>
            <w:r w:rsidRPr="0080193D">
              <w:rPr>
                <w:rFonts w:ascii="Times New Roman" w:hAnsi="Times New Roman" w:cs="Times New Roman"/>
                <w:sz w:val="20"/>
                <w:szCs w:val="20"/>
              </w:rPr>
              <w:t>u</w:t>
            </w:r>
            <w:proofErr w:type="spellEnd"/>
            <w:r w:rsidRPr="0080193D">
              <w:rPr>
                <w:rFonts w:ascii="Times New Roman" w:hAnsi="Times New Roman" w:cs="Times New Roman"/>
                <w:sz w:val="20"/>
                <w:szCs w:val="20"/>
              </w:rPr>
              <w:t>:</w:t>
            </w:r>
          </w:p>
          <w:p w14:paraId="0E778CF9" w14:textId="152EB68F" w:rsidR="003C365D" w:rsidRPr="0080193D" w:rsidRDefault="003C365D"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r w:rsidR="007E08AD">
              <w:rPr>
                <w:rFonts w:ascii="Times New Roman" w:hAnsi="Times New Roman" w:cs="Times New Roman"/>
                <w:sz w:val="20"/>
                <w:szCs w:val="20"/>
              </w:rPr>
              <w:t>,</w:t>
            </w:r>
          </w:p>
          <w:p w14:paraId="790D388C" w14:textId="71F7ED4C" w:rsidR="003C365D" w:rsidRPr="0080193D" w:rsidRDefault="003C365D"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lastRenderedPageBreak/>
              <w:t>aktywność AST, ALT, stężenie bilirubiny całkowitej, stężenie kreatyniny, stężenie kwasu moczowego</w:t>
            </w:r>
            <w:r w:rsidR="007E08AD">
              <w:rPr>
                <w:rFonts w:ascii="Times New Roman" w:hAnsi="Times New Roman" w:cs="Times New Roman"/>
                <w:sz w:val="20"/>
                <w:szCs w:val="20"/>
              </w:rPr>
              <w:t>,</w:t>
            </w:r>
          </w:p>
          <w:p w14:paraId="06F7085F" w14:textId="4F5779F7" w:rsidR="002C019A" w:rsidRPr="0080193D" w:rsidRDefault="002C019A"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stężenie potasu, stężenie fosforanów, stężenie wapnia, aktywność dehydrogenazy mleczanowej (LDH) (</w:t>
            </w:r>
            <w:r w:rsidR="0060064F" w:rsidRPr="0080193D">
              <w:rPr>
                <w:rFonts w:ascii="Times New Roman" w:hAnsi="Times New Roman" w:cs="Times New Roman"/>
                <w:sz w:val="20"/>
                <w:szCs w:val="20"/>
              </w:rPr>
              <w:t xml:space="preserve">przed rozpoczęciem </w:t>
            </w:r>
            <w:r w:rsidRPr="0080193D">
              <w:rPr>
                <w:rFonts w:ascii="Times New Roman" w:hAnsi="Times New Roman" w:cs="Times New Roman"/>
                <w:sz w:val="20"/>
                <w:szCs w:val="20"/>
              </w:rPr>
              <w:t>cykl</w:t>
            </w:r>
            <w:r w:rsidR="0060064F" w:rsidRPr="0080193D">
              <w:rPr>
                <w:rFonts w:ascii="Times New Roman" w:hAnsi="Times New Roman" w:cs="Times New Roman"/>
                <w:sz w:val="20"/>
                <w:szCs w:val="20"/>
              </w:rPr>
              <w:t>i</w:t>
            </w:r>
            <w:r w:rsidRPr="0080193D">
              <w:rPr>
                <w:rFonts w:ascii="Times New Roman" w:hAnsi="Times New Roman" w:cs="Times New Roman"/>
                <w:sz w:val="20"/>
                <w:szCs w:val="20"/>
              </w:rPr>
              <w:t xml:space="preserve"> 3-6)</w:t>
            </w:r>
            <w:r w:rsidR="007E08AD">
              <w:rPr>
                <w:rFonts w:ascii="Times New Roman" w:hAnsi="Times New Roman" w:cs="Times New Roman"/>
                <w:sz w:val="20"/>
                <w:szCs w:val="20"/>
              </w:rPr>
              <w:t>;</w:t>
            </w:r>
          </w:p>
          <w:p w14:paraId="632A63C1" w14:textId="77777777" w:rsidR="00D435CE"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w trakcie dostosowywania dawki </w:t>
            </w:r>
            <w:proofErr w:type="spellStart"/>
            <w:r w:rsidR="00E22859" w:rsidRPr="0080193D">
              <w:rPr>
                <w:rFonts w:ascii="Times New Roman" w:hAnsi="Times New Roman" w:cs="Times New Roman"/>
                <w:sz w:val="20"/>
                <w:szCs w:val="20"/>
              </w:rPr>
              <w:t>wenetoklaksu</w:t>
            </w:r>
            <w:proofErr w:type="spellEnd"/>
            <w:r w:rsidR="00E22859" w:rsidRPr="0080193D">
              <w:rPr>
                <w:rFonts w:ascii="Times New Roman" w:hAnsi="Times New Roman" w:cs="Times New Roman"/>
                <w:sz w:val="20"/>
                <w:szCs w:val="20"/>
              </w:rPr>
              <w:t xml:space="preserve"> (od 22. dnia cyklu 1.</w:t>
            </w:r>
            <w:r w:rsidR="00B46FCC" w:rsidRPr="0080193D">
              <w:rPr>
                <w:rFonts w:ascii="Times New Roman" w:hAnsi="Times New Roman" w:cs="Times New Roman"/>
                <w:sz w:val="20"/>
                <w:szCs w:val="20"/>
              </w:rPr>
              <w:t xml:space="preserve">, a następnie </w:t>
            </w:r>
            <w:r w:rsidR="00E22859" w:rsidRPr="0080193D">
              <w:rPr>
                <w:rFonts w:ascii="Times New Roman" w:hAnsi="Times New Roman" w:cs="Times New Roman"/>
                <w:sz w:val="20"/>
                <w:szCs w:val="20"/>
              </w:rPr>
              <w:t>co 1 tydzień przez 5 tygodni):</w:t>
            </w:r>
          </w:p>
          <w:p w14:paraId="10584397" w14:textId="096A4437" w:rsidR="00D435CE"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morfologia krwi </w:t>
            </w:r>
            <w:r w:rsidR="003C365D" w:rsidRPr="0080193D">
              <w:rPr>
                <w:rFonts w:ascii="Times New Roman" w:hAnsi="Times New Roman" w:cs="Times New Roman"/>
                <w:sz w:val="20"/>
                <w:szCs w:val="20"/>
              </w:rPr>
              <w:t>obwodowej z rozmazem</w:t>
            </w:r>
            <w:r w:rsidR="007E08AD">
              <w:rPr>
                <w:rFonts w:ascii="Times New Roman" w:hAnsi="Times New Roman" w:cs="Times New Roman"/>
                <w:sz w:val="20"/>
                <w:szCs w:val="20"/>
              </w:rPr>
              <w:t>,</w:t>
            </w:r>
          </w:p>
          <w:p w14:paraId="7D09523B" w14:textId="77777777" w:rsidR="00D435CE"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 aktywność dehydrogenazy mleczanowej (LDH);</w:t>
            </w:r>
          </w:p>
          <w:p w14:paraId="471F275E" w14:textId="381733EB" w:rsidR="0060064F" w:rsidRPr="0080193D" w:rsidRDefault="0060064F"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badania wykonywanie w cyklach 7-12:</w:t>
            </w:r>
          </w:p>
          <w:p w14:paraId="79180E64" w14:textId="164D0F01" w:rsidR="0060064F" w:rsidRPr="0080193D" w:rsidRDefault="0060064F"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r w:rsidR="004307B9">
              <w:rPr>
                <w:rFonts w:ascii="Times New Roman" w:hAnsi="Times New Roman" w:cs="Times New Roman"/>
                <w:sz w:val="20"/>
                <w:szCs w:val="20"/>
              </w:rPr>
              <w:t xml:space="preserve"> (przed rozpoczęciem każdego cyklu)</w:t>
            </w:r>
            <w:r w:rsidRPr="0080193D">
              <w:rPr>
                <w:rFonts w:ascii="Times New Roman" w:hAnsi="Times New Roman" w:cs="Times New Roman"/>
                <w:sz w:val="20"/>
                <w:szCs w:val="20"/>
              </w:rPr>
              <w:t>,</w:t>
            </w:r>
          </w:p>
          <w:p w14:paraId="73CDB65E" w14:textId="2CB1E3DD" w:rsidR="00421775" w:rsidRDefault="00421775"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 aktywność AST, ALT, stężenie bilirubiny całkowitej</w:t>
            </w:r>
            <w:r w:rsidR="007E08AD">
              <w:rPr>
                <w:rFonts w:ascii="Times New Roman" w:hAnsi="Times New Roman" w:cs="Times New Roman"/>
                <w:sz w:val="20"/>
                <w:szCs w:val="20"/>
              </w:rPr>
              <w:t xml:space="preserve"> </w:t>
            </w:r>
            <w:r w:rsidR="00B46FCC" w:rsidRPr="0080193D">
              <w:rPr>
                <w:rFonts w:ascii="Times New Roman" w:hAnsi="Times New Roman" w:cs="Times New Roman"/>
                <w:sz w:val="20"/>
                <w:szCs w:val="20"/>
              </w:rPr>
              <w:t>(przed rozpoczęciem cyklu 9 i 12)</w:t>
            </w:r>
            <w:r w:rsidR="00D435CE" w:rsidRPr="0080193D">
              <w:rPr>
                <w:rFonts w:ascii="Times New Roman" w:hAnsi="Times New Roman" w:cs="Times New Roman"/>
                <w:sz w:val="20"/>
                <w:szCs w:val="20"/>
              </w:rPr>
              <w:t>.</w:t>
            </w:r>
          </w:p>
          <w:p w14:paraId="3F7F67EE" w14:textId="5A9D6A3D" w:rsidR="00E06D10" w:rsidRPr="00993409" w:rsidRDefault="00E06D10" w:rsidP="00993409">
            <w:pPr>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 xml:space="preserve">Dopuszczalne jest częstsze monitorowanie </w:t>
            </w:r>
            <w:r w:rsidRPr="007E08AD">
              <w:rPr>
                <w:rFonts w:ascii="Times New Roman" w:eastAsia="Times New Roman" w:hAnsi="Times New Roman" w:cs="Times New Roman"/>
                <w:sz w:val="20"/>
                <w:szCs w:val="20"/>
                <w:lang w:eastAsia="pl-PL"/>
              </w:rPr>
              <w:br/>
              <w:t>w zależności od</w:t>
            </w:r>
            <w:r>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wskazań klinicznych.</w:t>
            </w:r>
          </w:p>
          <w:p w14:paraId="3FC894F3" w14:textId="77777777" w:rsidR="00E22859" w:rsidRPr="0080193D" w:rsidRDefault="00E22859" w:rsidP="0080193D">
            <w:pPr>
              <w:rPr>
                <w:rFonts w:ascii="Times New Roman" w:hAnsi="Times New Roman" w:cs="Times New Roman"/>
                <w:sz w:val="20"/>
                <w:szCs w:val="20"/>
              </w:rPr>
            </w:pPr>
          </w:p>
          <w:p w14:paraId="0D06F2C4" w14:textId="07D4298E" w:rsidR="00E22859" w:rsidRPr="0080193D" w:rsidRDefault="00E22859" w:rsidP="007E08AD">
            <w:pPr>
              <w:pStyle w:val="Akapitzlist"/>
              <w:numPr>
                <w:ilvl w:val="1"/>
                <w:numId w:val="37"/>
              </w:numPr>
              <w:autoSpaceDE w:val="0"/>
              <w:autoSpaceDN w:val="0"/>
              <w:adjustRightInd w:val="0"/>
              <w:contextualSpacing w:val="0"/>
              <w:rPr>
                <w:rFonts w:ascii="Times New Roman" w:hAnsi="Times New Roman" w:cs="Times New Roman"/>
                <w:b/>
                <w:bCs/>
                <w:i/>
                <w:iCs/>
                <w:sz w:val="20"/>
                <w:szCs w:val="20"/>
              </w:rPr>
            </w:pPr>
            <w:proofErr w:type="spellStart"/>
            <w:r w:rsidRPr="0080193D">
              <w:rPr>
                <w:rFonts w:ascii="Times New Roman" w:hAnsi="Times New Roman" w:cs="Times New Roman"/>
                <w:b/>
                <w:bCs/>
                <w:i/>
                <w:iCs/>
                <w:sz w:val="20"/>
                <w:szCs w:val="20"/>
              </w:rPr>
              <w:t>wenetokla</w:t>
            </w:r>
            <w:r w:rsidR="007E08AD">
              <w:rPr>
                <w:rFonts w:ascii="Times New Roman" w:hAnsi="Times New Roman" w:cs="Times New Roman"/>
                <w:b/>
                <w:bCs/>
                <w:i/>
                <w:iCs/>
                <w:sz w:val="20"/>
                <w:szCs w:val="20"/>
              </w:rPr>
              <w:t>ks</w:t>
            </w:r>
            <w:proofErr w:type="spellEnd"/>
            <w:r w:rsidRPr="0080193D">
              <w:rPr>
                <w:rFonts w:ascii="Times New Roman" w:hAnsi="Times New Roman" w:cs="Times New Roman"/>
                <w:b/>
                <w:bCs/>
                <w:i/>
                <w:iCs/>
                <w:sz w:val="20"/>
                <w:szCs w:val="20"/>
              </w:rPr>
              <w:t xml:space="preserve"> w skojarzeniu z </w:t>
            </w:r>
            <w:proofErr w:type="spellStart"/>
            <w:r w:rsidRPr="0080193D">
              <w:rPr>
                <w:rFonts w:ascii="Times New Roman" w:hAnsi="Times New Roman" w:cs="Times New Roman"/>
                <w:b/>
                <w:bCs/>
                <w:i/>
                <w:iCs/>
                <w:sz w:val="20"/>
                <w:szCs w:val="20"/>
              </w:rPr>
              <w:t>rytuksymabem</w:t>
            </w:r>
            <w:proofErr w:type="spellEnd"/>
            <w:r w:rsidR="006D0931" w:rsidRPr="0080193D">
              <w:rPr>
                <w:rFonts w:ascii="Times New Roman" w:hAnsi="Times New Roman" w:cs="Times New Roman"/>
                <w:b/>
                <w:bCs/>
                <w:i/>
                <w:iCs/>
                <w:sz w:val="20"/>
                <w:szCs w:val="20"/>
              </w:rPr>
              <w:t xml:space="preserve"> </w:t>
            </w:r>
            <w:r w:rsidR="006D0931" w:rsidRPr="0080193D">
              <w:rPr>
                <w:rFonts w:ascii="Times New Roman" w:hAnsi="Times New Roman" w:cs="Times New Roman"/>
                <w:b/>
                <w:bCs/>
                <w:sz w:val="20"/>
                <w:szCs w:val="20"/>
              </w:rPr>
              <w:t>lub</w:t>
            </w:r>
            <w:r w:rsidR="007E08AD">
              <w:rPr>
                <w:rFonts w:ascii="Times New Roman" w:hAnsi="Times New Roman" w:cs="Times New Roman"/>
                <w:b/>
                <w:bCs/>
                <w:sz w:val="20"/>
                <w:szCs w:val="20"/>
              </w:rPr>
              <w:t xml:space="preserve"> </w:t>
            </w:r>
            <w:proofErr w:type="spellStart"/>
            <w:r w:rsidRPr="0080193D">
              <w:rPr>
                <w:rFonts w:ascii="Times New Roman" w:hAnsi="Times New Roman" w:cs="Times New Roman"/>
                <w:b/>
                <w:bCs/>
                <w:i/>
                <w:iCs/>
                <w:sz w:val="20"/>
                <w:szCs w:val="20"/>
              </w:rPr>
              <w:t>wenetoklaks</w:t>
            </w:r>
            <w:proofErr w:type="spellEnd"/>
            <w:r w:rsidRPr="0080193D">
              <w:rPr>
                <w:rFonts w:ascii="Times New Roman" w:hAnsi="Times New Roman" w:cs="Times New Roman"/>
                <w:b/>
                <w:bCs/>
                <w:i/>
                <w:iCs/>
                <w:sz w:val="20"/>
                <w:szCs w:val="20"/>
              </w:rPr>
              <w:t xml:space="preserve"> w monoterapii</w:t>
            </w:r>
          </w:p>
          <w:p w14:paraId="3B0E2DA6" w14:textId="48E8B6CA" w:rsidR="00D53895"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przed pierwszym podaniem</w:t>
            </w:r>
            <w:r w:rsidR="002D6093" w:rsidRPr="0080193D">
              <w:rPr>
                <w:rFonts w:ascii="Times New Roman" w:hAnsi="Times New Roman" w:cs="Times New Roman"/>
                <w:sz w:val="20"/>
                <w:szCs w:val="20"/>
              </w:rPr>
              <w:t xml:space="preserve"> </w:t>
            </w:r>
            <w:proofErr w:type="spellStart"/>
            <w:r w:rsidR="002D6093" w:rsidRPr="0080193D">
              <w:rPr>
                <w:rFonts w:ascii="Times New Roman" w:hAnsi="Times New Roman" w:cs="Times New Roman"/>
                <w:sz w:val="20"/>
                <w:szCs w:val="20"/>
              </w:rPr>
              <w:t>wenetoklaksu</w:t>
            </w:r>
            <w:proofErr w:type="spellEnd"/>
            <w:r w:rsidR="00E22859" w:rsidRPr="0080193D">
              <w:rPr>
                <w:rFonts w:ascii="Times New Roman" w:hAnsi="Times New Roman" w:cs="Times New Roman"/>
                <w:sz w:val="20"/>
                <w:szCs w:val="20"/>
              </w:rPr>
              <w:t xml:space="preserve"> oraz każdego tygodnia przez okres dostosowania dawki:</w:t>
            </w:r>
          </w:p>
          <w:p w14:paraId="4CAA8CD8" w14:textId="45EA2A1D" w:rsidR="00D53895" w:rsidRPr="0080193D" w:rsidRDefault="00D53895"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p>
          <w:p w14:paraId="35E17B37" w14:textId="10ED1005" w:rsidR="00D53895" w:rsidRPr="007E08A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w:t>
            </w:r>
            <w:r w:rsidR="007E08AD">
              <w:rPr>
                <w:rFonts w:ascii="Times New Roman" w:hAnsi="Times New Roman" w:cs="Times New Roman"/>
                <w:sz w:val="20"/>
                <w:szCs w:val="20"/>
              </w:rPr>
              <w:t>;</w:t>
            </w:r>
          </w:p>
          <w:p w14:paraId="19063D07" w14:textId="7C91D2F3" w:rsidR="00E22859" w:rsidRPr="0080193D" w:rsidRDefault="002D6093"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po okresie dostosowywania dawki</w:t>
            </w:r>
            <w:r w:rsidRPr="0080193D">
              <w:rPr>
                <w:rFonts w:ascii="Times New Roman" w:hAnsi="Times New Roman" w:cs="Times New Roman"/>
                <w:sz w:val="20"/>
                <w:szCs w:val="20"/>
              </w:rPr>
              <w:t xml:space="preserve"> </w:t>
            </w:r>
            <w:proofErr w:type="spellStart"/>
            <w:r w:rsidRPr="0080193D">
              <w:rPr>
                <w:rFonts w:ascii="Times New Roman" w:hAnsi="Times New Roman" w:cs="Times New Roman"/>
                <w:sz w:val="20"/>
                <w:szCs w:val="20"/>
              </w:rPr>
              <w:t>wenetoklaksu</w:t>
            </w:r>
            <w:proofErr w:type="spellEnd"/>
            <w:r w:rsidR="00E22859" w:rsidRPr="0080193D">
              <w:rPr>
                <w:rFonts w:ascii="Times New Roman" w:hAnsi="Times New Roman" w:cs="Times New Roman"/>
                <w:sz w:val="20"/>
                <w:szCs w:val="20"/>
              </w:rPr>
              <w:t>:</w:t>
            </w:r>
          </w:p>
          <w:p w14:paraId="1F600472" w14:textId="10AD627F" w:rsidR="00E22859"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co 1 miesiąc – morfologia krwi </w:t>
            </w:r>
            <w:r w:rsidR="002D6093" w:rsidRPr="0080193D">
              <w:rPr>
                <w:rFonts w:ascii="Times New Roman" w:hAnsi="Times New Roman" w:cs="Times New Roman"/>
                <w:sz w:val="20"/>
                <w:szCs w:val="20"/>
              </w:rPr>
              <w:t xml:space="preserve">obwodowej </w:t>
            </w:r>
            <w:r w:rsidRPr="0080193D">
              <w:rPr>
                <w:rFonts w:ascii="Times New Roman" w:hAnsi="Times New Roman" w:cs="Times New Roman"/>
                <w:sz w:val="20"/>
                <w:szCs w:val="20"/>
              </w:rPr>
              <w:t>z rozmazem,</w:t>
            </w:r>
          </w:p>
          <w:p w14:paraId="41975E28" w14:textId="2D4362D1" w:rsidR="00E22859"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co 3 miesiące – stężenie kreatyniny, stężenie kwasu moczowego, stężenie potasu, stężenie fosforanów, stężenie wapnia, aktywność AST, ALT, stężenie bilirubiny całkowitej, aktywność dehydrogenazy mleczanowej</w:t>
            </w:r>
            <w:r w:rsidR="002D6093" w:rsidRPr="0080193D">
              <w:rPr>
                <w:rFonts w:ascii="Times New Roman" w:hAnsi="Times New Roman" w:cs="Times New Roman"/>
                <w:sz w:val="20"/>
                <w:szCs w:val="20"/>
              </w:rPr>
              <w:t xml:space="preserve"> (LDH)</w:t>
            </w:r>
            <w:r w:rsidR="007E08AD">
              <w:rPr>
                <w:rFonts w:ascii="Times New Roman" w:hAnsi="Times New Roman" w:cs="Times New Roman"/>
                <w:sz w:val="20"/>
                <w:szCs w:val="20"/>
              </w:rPr>
              <w:t>;</w:t>
            </w:r>
          </w:p>
          <w:p w14:paraId="21C35759" w14:textId="510B1B7C" w:rsidR="00E22859" w:rsidRPr="0080193D" w:rsidRDefault="00EC582E"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jedynie w przypadku terapii </w:t>
            </w:r>
            <w:proofErr w:type="spellStart"/>
            <w:r w:rsidRPr="0080193D">
              <w:rPr>
                <w:rFonts w:ascii="Times New Roman" w:hAnsi="Times New Roman" w:cs="Times New Roman"/>
                <w:i/>
                <w:iCs/>
                <w:sz w:val="20"/>
                <w:szCs w:val="20"/>
              </w:rPr>
              <w:t>wenetoklaksem</w:t>
            </w:r>
            <w:proofErr w:type="spellEnd"/>
            <w:r w:rsidRPr="0080193D">
              <w:rPr>
                <w:rFonts w:ascii="Times New Roman" w:hAnsi="Times New Roman" w:cs="Times New Roman"/>
                <w:i/>
                <w:iCs/>
                <w:sz w:val="20"/>
                <w:szCs w:val="20"/>
              </w:rPr>
              <w:t xml:space="preserve"> w skojarzeniu z </w:t>
            </w:r>
            <w:proofErr w:type="spellStart"/>
            <w:r w:rsidRPr="0080193D">
              <w:rPr>
                <w:rFonts w:ascii="Times New Roman" w:hAnsi="Times New Roman" w:cs="Times New Roman"/>
                <w:i/>
                <w:iCs/>
                <w:sz w:val="20"/>
                <w:szCs w:val="20"/>
              </w:rPr>
              <w:t>rytuksymabem</w:t>
            </w:r>
            <w:proofErr w:type="spellEnd"/>
            <w:r w:rsidRPr="0080193D">
              <w:rPr>
                <w:rFonts w:ascii="Times New Roman" w:hAnsi="Times New Roman" w:cs="Times New Roman"/>
                <w:sz w:val="20"/>
                <w:szCs w:val="20"/>
              </w:rPr>
              <w:t xml:space="preserve"> </w:t>
            </w:r>
            <w:r w:rsidR="00F82FEE" w:rsidRPr="0080193D">
              <w:rPr>
                <w:rFonts w:ascii="Times New Roman" w:hAnsi="Times New Roman" w:cs="Times New Roman"/>
                <w:sz w:val="20"/>
                <w:szCs w:val="20"/>
              </w:rPr>
              <w:t>– EKG wykonywane</w:t>
            </w:r>
            <w:r w:rsidRPr="0080193D">
              <w:rPr>
                <w:rFonts w:ascii="Times New Roman" w:hAnsi="Times New Roman" w:cs="Times New Roman"/>
                <w:sz w:val="20"/>
                <w:szCs w:val="20"/>
              </w:rPr>
              <w:t xml:space="preserve"> co 28 dni</w:t>
            </w:r>
            <w:r w:rsidR="00E22859" w:rsidRPr="0080193D">
              <w:rPr>
                <w:rFonts w:ascii="Times New Roman" w:hAnsi="Times New Roman" w:cs="Times New Roman"/>
                <w:sz w:val="20"/>
                <w:szCs w:val="20"/>
              </w:rPr>
              <w:t xml:space="preserve"> w okresie leczenia </w:t>
            </w:r>
            <w:proofErr w:type="spellStart"/>
            <w:r w:rsidR="00E22859" w:rsidRPr="0080193D">
              <w:rPr>
                <w:rFonts w:ascii="Times New Roman" w:hAnsi="Times New Roman" w:cs="Times New Roman"/>
                <w:sz w:val="20"/>
                <w:szCs w:val="20"/>
              </w:rPr>
              <w:t>rytuksymabem</w:t>
            </w:r>
            <w:proofErr w:type="spellEnd"/>
            <w:r w:rsidR="00F82FEE" w:rsidRPr="0080193D">
              <w:rPr>
                <w:rFonts w:ascii="Times New Roman" w:hAnsi="Times New Roman" w:cs="Times New Roman"/>
                <w:sz w:val="20"/>
                <w:szCs w:val="20"/>
              </w:rPr>
              <w:t>.</w:t>
            </w:r>
          </w:p>
          <w:p w14:paraId="53F264F3" w14:textId="77777777" w:rsidR="00BA71B0" w:rsidRPr="0080193D" w:rsidRDefault="00BA71B0" w:rsidP="0080193D">
            <w:pPr>
              <w:rPr>
                <w:rFonts w:ascii="Times New Roman" w:eastAsia="Times New Roman" w:hAnsi="Times New Roman" w:cs="Times New Roman"/>
                <w:b/>
                <w:bCs/>
                <w:color w:val="000000"/>
                <w:sz w:val="20"/>
                <w:szCs w:val="20"/>
                <w:lang w:eastAsia="pl-PL"/>
              </w:rPr>
            </w:pPr>
          </w:p>
          <w:p w14:paraId="1517B14C" w14:textId="217B1996" w:rsidR="00BA71B0" w:rsidRPr="0080193D" w:rsidRDefault="00BA71B0" w:rsidP="007E08AD">
            <w:pPr>
              <w:pStyle w:val="Akapitzlist"/>
              <w:numPr>
                <w:ilvl w:val="0"/>
                <w:numId w:val="37"/>
              </w:numPr>
              <w:autoSpaceDE w:val="0"/>
              <w:autoSpaceDN w:val="0"/>
              <w:adjustRightInd w:val="0"/>
              <w:contextualSpacing w:val="0"/>
              <w:rPr>
                <w:rFonts w:ascii="Times New Roman" w:hAnsi="Times New Roman" w:cs="Times New Roman"/>
                <w:b/>
                <w:sz w:val="20"/>
                <w:szCs w:val="20"/>
              </w:rPr>
            </w:pPr>
            <w:r w:rsidRPr="0080193D">
              <w:rPr>
                <w:rFonts w:ascii="Times New Roman" w:hAnsi="Times New Roman" w:cs="Times New Roman"/>
                <w:b/>
                <w:sz w:val="20"/>
                <w:szCs w:val="20"/>
              </w:rPr>
              <w:t>Ocena skuteczności leczenia</w:t>
            </w:r>
          </w:p>
          <w:p w14:paraId="2253C579" w14:textId="5214EB61" w:rsidR="00BA71B0" w:rsidRPr="007E08AD" w:rsidRDefault="00F76D87" w:rsidP="007E08AD">
            <w:pPr>
              <w:rPr>
                <w:rFonts w:ascii="Times New Roman" w:eastAsia="Times New Roman" w:hAnsi="Times New Roman" w:cs="Times New Roman"/>
                <w:color w:val="000000"/>
                <w:sz w:val="20"/>
                <w:szCs w:val="20"/>
                <w:lang w:eastAsia="pl-PL"/>
              </w:rPr>
            </w:pPr>
            <w:r w:rsidRPr="007E08AD">
              <w:rPr>
                <w:rFonts w:ascii="Times New Roman" w:eastAsia="Times New Roman" w:hAnsi="Times New Roman" w:cs="Times New Roman"/>
                <w:color w:val="000000"/>
                <w:sz w:val="20"/>
                <w:szCs w:val="20"/>
                <w:lang w:eastAsia="pl-PL"/>
              </w:rPr>
              <w:t>B</w:t>
            </w:r>
            <w:r w:rsidR="00BA71B0" w:rsidRPr="007E08AD">
              <w:rPr>
                <w:rFonts w:ascii="Times New Roman" w:eastAsia="Times New Roman" w:hAnsi="Times New Roman" w:cs="Times New Roman"/>
                <w:color w:val="000000"/>
                <w:sz w:val="20"/>
                <w:szCs w:val="20"/>
                <w:lang w:eastAsia="pl-PL"/>
              </w:rPr>
              <w:t>adania pozwalające na ocenę skuteczności leczenia</w:t>
            </w:r>
            <w:r w:rsidR="00AD799B" w:rsidRPr="007E08AD">
              <w:rPr>
                <w:rFonts w:ascii="Times New Roman" w:eastAsia="Times New Roman" w:hAnsi="Times New Roman" w:cs="Times New Roman"/>
                <w:color w:val="000000"/>
                <w:sz w:val="20"/>
                <w:szCs w:val="20"/>
                <w:lang w:eastAsia="pl-PL"/>
              </w:rPr>
              <w:t xml:space="preserve"> powinny być przeprowadzane co 3 miesiące</w:t>
            </w:r>
            <w:r w:rsidR="00BA71B0" w:rsidRPr="007E08AD">
              <w:rPr>
                <w:rFonts w:ascii="Times New Roman" w:eastAsia="Times New Roman" w:hAnsi="Times New Roman" w:cs="Times New Roman"/>
                <w:color w:val="000000"/>
                <w:sz w:val="20"/>
                <w:szCs w:val="20"/>
                <w:lang w:eastAsia="pl-PL"/>
              </w:rPr>
              <w:t xml:space="preserve">, zgodnie z aktualnie obowiązującymi zaleceniami International Workshop on </w:t>
            </w:r>
            <w:proofErr w:type="spellStart"/>
            <w:r w:rsidR="00BA71B0" w:rsidRPr="007E08AD">
              <w:rPr>
                <w:rFonts w:ascii="Times New Roman" w:eastAsia="Times New Roman" w:hAnsi="Times New Roman" w:cs="Times New Roman"/>
                <w:color w:val="000000"/>
                <w:sz w:val="20"/>
                <w:szCs w:val="20"/>
                <w:lang w:eastAsia="pl-PL"/>
              </w:rPr>
              <w:t>Chronic</w:t>
            </w:r>
            <w:proofErr w:type="spellEnd"/>
            <w:r w:rsidR="00BA71B0" w:rsidRPr="007E08AD">
              <w:rPr>
                <w:rFonts w:ascii="Times New Roman" w:eastAsia="Times New Roman" w:hAnsi="Times New Roman" w:cs="Times New Roman"/>
                <w:color w:val="000000"/>
                <w:sz w:val="20"/>
                <w:szCs w:val="20"/>
                <w:lang w:eastAsia="pl-PL"/>
              </w:rPr>
              <w:t xml:space="preserve"> </w:t>
            </w:r>
            <w:proofErr w:type="spellStart"/>
            <w:r w:rsidR="00BA71B0" w:rsidRPr="007E08AD">
              <w:rPr>
                <w:rFonts w:ascii="Times New Roman" w:eastAsia="Times New Roman" w:hAnsi="Times New Roman" w:cs="Times New Roman"/>
                <w:color w:val="000000"/>
                <w:sz w:val="20"/>
                <w:szCs w:val="20"/>
                <w:lang w:eastAsia="pl-PL"/>
              </w:rPr>
              <w:t>Lymphocytic</w:t>
            </w:r>
            <w:proofErr w:type="spellEnd"/>
            <w:r w:rsidR="00BA71B0" w:rsidRPr="007E08AD">
              <w:rPr>
                <w:rFonts w:ascii="Times New Roman" w:eastAsia="Times New Roman" w:hAnsi="Times New Roman" w:cs="Times New Roman"/>
                <w:color w:val="000000"/>
                <w:sz w:val="20"/>
                <w:szCs w:val="20"/>
                <w:lang w:eastAsia="pl-PL"/>
              </w:rPr>
              <w:t xml:space="preserve"> </w:t>
            </w:r>
            <w:proofErr w:type="spellStart"/>
            <w:r w:rsidR="00BA71B0" w:rsidRPr="007E08AD">
              <w:rPr>
                <w:rFonts w:ascii="Times New Roman" w:eastAsia="Times New Roman" w:hAnsi="Times New Roman" w:cs="Times New Roman"/>
                <w:color w:val="000000"/>
                <w:sz w:val="20"/>
                <w:szCs w:val="20"/>
                <w:lang w:eastAsia="pl-PL"/>
              </w:rPr>
              <w:t>Leukaemia</w:t>
            </w:r>
            <w:proofErr w:type="spellEnd"/>
            <w:r w:rsidR="00BA71B0" w:rsidRPr="007E08AD">
              <w:rPr>
                <w:rFonts w:ascii="Times New Roman" w:eastAsia="Times New Roman" w:hAnsi="Times New Roman" w:cs="Times New Roman"/>
                <w:color w:val="000000"/>
                <w:sz w:val="20"/>
                <w:szCs w:val="20"/>
                <w:lang w:eastAsia="pl-PL"/>
              </w:rPr>
              <w:t xml:space="preserve"> (</w:t>
            </w:r>
            <w:proofErr w:type="spellStart"/>
            <w:r w:rsidR="00BA71B0" w:rsidRPr="007E08AD">
              <w:rPr>
                <w:rFonts w:ascii="Times New Roman" w:eastAsia="Times New Roman" w:hAnsi="Times New Roman" w:cs="Times New Roman"/>
                <w:color w:val="000000"/>
                <w:sz w:val="20"/>
                <w:szCs w:val="20"/>
                <w:lang w:eastAsia="pl-PL"/>
              </w:rPr>
              <w:t>iwCLL</w:t>
            </w:r>
            <w:proofErr w:type="spellEnd"/>
            <w:r w:rsidR="00BA71B0" w:rsidRPr="007E08AD">
              <w:rPr>
                <w:rFonts w:ascii="Times New Roman" w:eastAsia="Times New Roman" w:hAnsi="Times New Roman" w:cs="Times New Roman"/>
                <w:color w:val="000000"/>
                <w:sz w:val="20"/>
                <w:szCs w:val="20"/>
                <w:lang w:eastAsia="pl-PL"/>
              </w:rPr>
              <w:t>) z uwzględnieniem kategorii odpowiedzi częściowej z limfocytozą</w:t>
            </w:r>
            <w:r w:rsidR="000B6150" w:rsidRPr="007E08AD">
              <w:rPr>
                <w:rFonts w:ascii="Times New Roman" w:eastAsia="Times New Roman" w:hAnsi="Times New Roman" w:cs="Times New Roman"/>
                <w:color w:val="000000"/>
                <w:sz w:val="20"/>
                <w:szCs w:val="20"/>
                <w:lang w:eastAsia="pl-PL"/>
              </w:rPr>
              <w:t xml:space="preserve"> (w przypadku leczenia </w:t>
            </w:r>
            <w:proofErr w:type="spellStart"/>
            <w:r w:rsidR="000B6150" w:rsidRPr="007E08AD">
              <w:rPr>
                <w:rFonts w:ascii="Times New Roman" w:eastAsia="Times New Roman" w:hAnsi="Times New Roman" w:cs="Times New Roman"/>
                <w:color w:val="000000"/>
                <w:sz w:val="20"/>
                <w:szCs w:val="20"/>
                <w:lang w:eastAsia="pl-PL"/>
              </w:rPr>
              <w:t>ibrutynibem</w:t>
            </w:r>
            <w:proofErr w:type="spellEnd"/>
            <w:r w:rsidR="000B6150" w:rsidRPr="007E08AD">
              <w:rPr>
                <w:rFonts w:ascii="Times New Roman" w:eastAsia="Times New Roman" w:hAnsi="Times New Roman" w:cs="Times New Roman"/>
                <w:color w:val="000000"/>
                <w:sz w:val="20"/>
                <w:szCs w:val="20"/>
                <w:lang w:eastAsia="pl-PL"/>
              </w:rPr>
              <w:t xml:space="preserve"> lub </w:t>
            </w:r>
            <w:proofErr w:type="spellStart"/>
            <w:r w:rsidR="000B6150" w:rsidRPr="007E08AD">
              <w:rPr>
                <w:rFonts w:ascii="Times New Roman" w:eastAsia="Times New Roman" w:hAnsi="Times New Roman" w:cs="Times New Roman"/>
                <w:color w:val="000000"/>
                <w:sz w:val="20"/>
                <w:szCs w:val="20"/>
                <w:lang w:eastAsia="pl-PL"/>
              </w:rPr>
              <w:t>akalabrutynibem</w:t>
            </w:r>
            <w:proofErr w:type="spellEnd"/>
            <w:r w:rsidR="000B6150" w:rsidRPr="007E08AD">
              <w:rPr>
                <w:rFonts w:ascii="Times New Roman" w:eastAsia="Times New Roman" w:hAnsi="Times New Roman" w:cs="Times New Roman"/>
                <w:color w:val="000000"/>
                <w:sz w:val="20"/>
                <w:szCs w:val="20"/>
                <w:lang w:eastAsia="pl-PL"/>
              </w:rPr>
              <w:t>)</w:t>
            </w:r>
            <w:r w:rsidR="00BA71B0" w:rsidRPr="007E08AD">
              <w:rPr>
                <w:rFonts w:ascii="Times New Roman" w:eastAsia="Times New Roman" w:hAnsi="Times New Roman" w:cs="Times New Roman"/>
                <w:color w:val="000000"/>
                <w:sz w:val="20"/>
                <w:szCs w:val="20"/>
                <w:lang w:eastAsia="pl-PL"/>
              </w:rPr>
              <w:t>:</w:t>
            </w:r>
          </w:p>
          <w:p w14:paraId="25A417B1" w14:textId="77777777" w:rsidR="00F76D87"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lastRenderedPageBreak/>
              <w:t>morfologia krwi obwodowej z</w:t>
            </w:r>
            <w:r w:rsidR="00F76D87" w:rsidRPr="0080193D">
              <w:rPr>
                <w:rFonts w:ascii="Times New Roman" w:eastAsia="Times New Roman" w:hAnsi="Times New Roman" w:cs="Times New Roman"/>
                <w:color w:val="000000"/>
                <w:sz w:val="20"/>
                <w:szCs w:val="20"/>
                <w:lang w:eastAsia="pl-PL"/>
              </w:rPr>
              <w:t xml:space="preserve"> rozmazem;</w:t>
            </w:r>
            <w:r w:rsidRPr="0080193D">
              <w:rPr>
                <w:rFonts w:ascii="Times New Roman" w:eastAsia="Times New Roman" w:hAnsi="Times New Roman" w:cs="Times New Roman"/>
                <w:color w:val="000000"/>
                <w:sz w:val="20"/>
                <w:szCs w:val="20"/>
                <w:lang w:eastAsia="pl-PL"/>
              </w:rPr>
              <w:t xml:space="preserve"> </w:t>
            </w:r>
          </w:p>
          <w:p w14:paraId="368D32E2" w14:textId="77777777" w:rsidR="00F76D87"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badania obrazowe: USG jamy brzusznej lub CT klatki piersiowej, jamy brzusznej i miednicy (potrzeba wykonania badań obrazowych i ich rodzaj - do decyzji lekarza w zależności od sytuacji klinicznej)</w:t>
            </w:r>
            <w:r w:rsidR="00F76D87" w:rsidRPr="0080193D">
              <w:rPr>
                <w:rFonts w:ascii="Times New Roman" w:eastAsia="Times New Roman" w:hAnsi="Times New Roman" w:cs="Times New Roman"/>
                <w:color w:val="000000"/>
                <w:sz w:val="20"/>
                <w:szCs w:val="20"/>
                <w:lang w:eastAsia="pl-PL"/>
              </w:rPr>
              <w:t>;</w:t>
            </w:r>
          </w:p>
          <w:p w14:paraId="48F95D1E" w14:textId="61E5D401" w:rsidR="00BA71B0"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biopsja aspiracyjna i </w:t>
            </w:r>
            <w:proofErr w:type="spellStart"/>
            <w:r w:rsidRPr="0080193D">
              <w:rPr>
                <w:rFonts w:ascii="Times New Roman" w:eastAsia="Times New Roman" w:hAnsi="Times New Roman" w:cs="Times New Roman"/>
                <w:color w:val="000000"/>
                <w:sz w:val="20"/>
                <w:szCs w:val="20"/>
                <w:lang w:eastAsia="pl-PL"/>
              </w:rPr>
              <w:t>trepanobiopsja</w:t>
            </w:r>
            <w:proofErr w:type="spellEnd"/>
            <w:r w:rsidRPr="0080193D">
              <w:rPr>
                <w:rFonts w:ascii="Times New Roman" w:eastAsia="Times New Roman" w:hAnsi="Times New Roman" w:cs="Times New Roman"/>
                <w:color w:val="000000"/>
                <w:sz w:val="20"/>
                <w:szCs w:val="20"/>
                <w:lang w:eastAsia="pl-PL"/>
              </w:rPr>
              <w:t xml:space="preserve"> szpiku przy potwierdzeniu całkowitej remisji lub w przypadku </w:t>
            </w:r>
            <w:proofErr w:type="spellStart"/>
            <w:r w:rsidRPr="0080193D">
              <w:rPr>
                <w:rFonts w:ascii="Times New Roman" w:eastAsia="Times New Roman" w:hAnsi="Times New Roman" w:cs="Times New Roman"/>
                <w:color w:val="000000"/>
                <w:sz w:val="20"/>
                <w:szCs w:val="20"/>
                <w:lang w:eastAsia="pl-PL"/>
              </w:rPr>
              <w:t>cytopenii</w:t>
            </w:r>
            <w:proofErr w:type="spellEnd"/>
            <w:r w:rsidRPr="0080193D">
              <w:rPr>
                <w:rFonts w:ascii="Times New Roman" w:eastAsia="Times New Roman" w:hAnsi="Times New Roman" w:cs="Times New Roman"/>
                <w:color w:val="000000"/>
                <w:sz w:val="20"/>
                <w:szCs w:val="20"/>
                <w:lang w:eastAsia="pl-PL"/>
              </w:rPr>
              <w:t xml:space="preserve"> o nieokreślonej przyczynie.</w:t>
            </w:r>
          </w:p>
          <w:p w14:paraId="49030447" w14:textId="77777777" w:rsidR="00F76D87" w:rsidRPr="0080193D" w:rsidRDefault="00F76D87" w:rsidP="0080193D">
            <w:pPr>
              <w:pStyle w:val="Akapitzlist"/>
              <w:ind w:left="454"/>
              <w:contextualSpacing w:val="0"/>
              <w:rPr>
                <w:rFonts w:ascii="Times New Roman" w:eastAsia="Times New Roman" w:hAnsi="Times New Roman" w:cs="Times New Roman"/>
                <w:color w:val="000000"/>
                <w:sz w:val="20"/>
                <w:szCs w:val="20"/>
                <w:lang w:eastAsia="pl-PL"/>
              </w:rPr>
            </w:pPr>
          </w:p>
          <w:p w14:paraId="6A3CCAF7" w14:textId="0CAA4256" w:rsidR="009C2DB3" w:rsidRPr="0080193D" w:rsidRDefault="00BA71B0" w:rsidP="007E08AD">
            <w:pPr>
              <w:pStyle w:val="Akapitzlist"/>
              <w:numPr>
                <w:ilvl w:val="0"/>
                <w:numId w:val="37"/>
              </w:numPr>
              <w:autoSpaceDE w:val="0"/>
              <w:autoSpaceDN w:val="0"/>
              <w:adjustRightInd w:val="0"/>
              <w:contextualSpacing w:val="0"/>
              <w:rPr>
                <w:rFonts w:ascii="Times New Roman" w:eastAsia="Times New Roman" w:hAnsi="Times New Roman" w:cs="Times New Roman"/>
                <w:bCs/>
                <w:sz w:val="20"/>
                <w:szCs w:val="20"/>
                <w:lang w:eastAsia="pl-PL"/>
              </w:rPr>
            </w:pPr>
            <w:r w:rsidRPr="0080193D">
              <w:rPr>
                <w:rFonts w:ascii="Times New Roman" w:hAnsi="Times New Roman" w:cs="Times New Roman"/>
                <w:b/>
                <w:sz w:val="20"/>
                <w:szCs w:val="20"/>
              </w:rPr>
              <w:t>Monitorowanie programu</w:t>
            </w:r>
          </w:p>
          <w:p w14:paraId="394356F3" w14:textId="247E3E51" w:rsidR="009C2DB3" w:rsidRPr="0080193D" w:rsidRDefault="00E53428"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g</w:t>
            </w:r>
            <w:r w:rsidR="009C2DB3" w:rsidRPr="0080193D">
              <w:rPr>
                <w:rFonts w:ascii="Times New Roman" w:hAnsi="Times New Roman" w:cs="Times New Roman"/>
                <w:sz w:val="20"/>
                <w:szCs w:val="20"/>
              </w:rPr>
              <w:t>romadzenie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dokumentacji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medycznej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pacjenta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danych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dotyczących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monitorowania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leczenia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każdorazowe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przedstawianie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żądanie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kontrolerów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Narodowego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Funduszu</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Zdrowia</w:t>
            </w:r>
            <w:r w:rsidRPr="0080193D">
              <w:rPr>
                <w:rFonts w:ascii="Times New Roman" w:hAnsi="Times New Roman" w:cs="Times New Roman"/>
                <w:sz w:val="20"/>
                <w:szCs w:val="20"/>
              </w:rPr>
              <w:t>;</w:t>
            </w:r>
          </w:p>
          <w:p w14:paraId="0BBE828E" w14:textId="680B505A" w:rsidR="00435124" w:rsidRPr="0080193D" w:rsidRDefault="00E53428" w:rsidP="007E08AD">
            <w:pPr>
              <w:numPr>
                <w:ilvl w:val="3"/>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u</w:t>
            </w:r>
            <w:r w:rsidR="00435124" w:rsidRPr="0080193D">
              <w:rPr>
                <w:rFonts w:ascii="Times New Roman" w:hAnsi="Times New Roman" w:cs="Times New Roman"/>
                <w:sz w:val="20"/>
                <w:szCs w:val="20"/>
              </w:rPr>
              <w:t>zupełnianie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danych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zawartych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elektronicznym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systemie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monitorowania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programów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lekowych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(SMPT)</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dostępnym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pomocą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aplikacji</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internetowej</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udostępnionej</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przez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częstotliwością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zgodną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opisem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oraz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zakończenie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leczenia</w:t>
            </w:r>
            <w:r w:rsidRPr="0080193D">
              <w:rPr>
                <w:rFonts w:ascii="Times New Roman" w:hAnsi="Times New Roman" w:cs="Times New Roman"/>
                <w:sz w:val="20"/>
                <w:szCs w:val="20"/>
              </w:rPr>
              <w:t>;</w:t>
            </w:r>
          </w:p>
          <w:p w14:paraId="1F4F4E65" w14:textId="1814DFAF" w:rsidR="00687D33" w:rsidRPr="0080193D" w:rsidRDefault="00E53428" w:rsidP="007E08AD">
            <w:pPr>
              <w:numPr>
                <w:ilvl w:val="3"/>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p</w:t>
            </w:r>
            <w:r w:rsidR="0062601E" w:rsidRPr="0080193D">
              <w:rPr>
                <w:rFonts w:ascii="Times New Roman" w:hAnsi="Times New Roman" w:cs="Times New Roman"/>
                <w:sz w:val="20"/>
                <w:szCs w:val="20"/>
              </w:rPr>
              <w:t>r</w:t>
            </w:r>
            <w:r w:rsidR="009C2DB3" w:rsidRPr="0080193D">
              <w:rPr>
                <w:rFonts w:ascii="Times New Roman" w:hAnsi="Times New Roman" w:cs="Times New Roman"/>
                <w:sz w:val="20"/>
                <w:szCs w:val="20"/>
              </w:rPr>
              <w:t>zekazywanie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informacji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sprawozdawczo-rozliczeniowych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informacje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przekazuje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się</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formie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papierowej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lub</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formie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elektronicznej,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zgodnie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wymaganiami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opublikowanymi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w:t>
            </w:r>
            <w:r w:rsidR="0060713C" w:rsidRPr="0080193D">
              <w:rPr>
                <w:rFonts w:ascii="Times New Roman" w:hAnsi="Times New Roman" w:cs="Times New Roman"/>
                <w:sz w:val="20"/>
                <w:szCs w:val="20"/>
              </w:rPr>
              <w:t>FZ.</w:t>
            </w:r>
          </w:p>
        </w:tc>
      </w:tr>
    </w:tbl>
    <w:p w14:paraId="3CED7C58" w14:textId="77777777" w:rsidR="00E96C24" w:rsidRPr="00284320" w:rsidRDefault="00E96C24" w:rsidP="00AE55F1">
      <w:pPr>
        <w:spacing w:before="60" w:after="0"/>
      </w:pPr>
    </w:p>
    <w:sectPr w:rsidR="00E96C24" w:rsidRPr="00284320" w:rsidSect="00D43AA6">
      <w:pgSz w:w="16838" w:h="11906" w:orient="landscape" w:code="9"/>
      <w:pgMar w:top="1588"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2847" w14:textId="77777777" w:rsidR="00DF73E5" w:rsidRDefault="00DF73E5" w:rsidP="00687D33">
      <w:pPr>
        <w:spacing w:after="0" w:line="240" w:lineRule="auto"/>
      </w:pPr>
      <w:r>
        <w:separator/>
      </w:r>
    </w:p>
  </w:endnote>
  <w:endnote w:type="continuationSeparator" w:id="0">
    <w:p w14:paraId="6C3C0575" w14:textId="77777777" w:rsidR="00DF73E5" w:rsidRDefault="00DF73E5" w:rsidP="0068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5351" w14:textId="77777777" w:rsidR="00DF73E5" w:rsidRDefault="00DF73E5" w:rsidP="00687D33">
      <w:pPr>
        <w:spacing w:after="0" w:line="240" w:lineRule="auto"/>
      </w:pPr>
      <w:r>
        <w:separator/>
      </w:r>
    </w:p>
  </w:footnote>
  <w:footnote w:type="continuationSeparator" w:id="0">
    <w:p w14:paraId="181F250D" w14:textId="77777777" w:rsidR="00DF73E5" w:rsidRDefault="00DF73E5" w:rsidP="00687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078"/>
    <w:multiLevelType w:val="multilevel"/>
    <w:tmpl w:val="8B8C1E8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 w15:restartNumberingAfterBreak="0">
    <w:nsid w:val="03CC48A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 w15:restartNumberingAfterBreak="0">
    <w:nsid w:val="054E41E9"/>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 w15:restartNumberingAfterBreak="0">
    <w:nsid w:val="06EE0EE0"/>
    <w:multiLevelType w:val="hybridMultilevel"/>
    <w:tmpl w:val="304E6AB8"/>
    <w:lvl w:ilvl="0" w:tplc="18281244">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E6D5F"/>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5" w15:restartNumberingAfterBreak="0">
    <w:nsid w:val="0EB57261"/>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6" w15:restartNumberingAfterBreak="0">
    <w:nsid w:val="12381B7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7" w15:restartNumberingAfterBreak="0">
    <w:nsid w:val="124F0901"/>
    <w:multiLevelType w:val="multilevel"/>
    <w:tmpl w:val="285C99DE"/>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8" w15:restartNumberingAfterBreak="0">
    <w:nsid w:val="14070F35"/>
    <w:multiLevelType w:val="multilevel"/>
    <w:tmpl w:val="0562C34C"/>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680" w:hanging="226"/>
      </w:pPr>
      <w:rPr>
        <w:rFonts w:ascii="Times New Roman" w:eastAsiaTheme="minorHAnsi" w:hAnsi="Times New Roman" w:cs="Times New Roman"/>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9" w15:restartNumberingAfterBreak="0">
    <w:nsid w:val="16A60F1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0" w15:restartNumberingAfterBreak="0">
    <w:nsid w:val="1E71060E"/>
    <w:multiLevelType w:val="multilevel"/>
    <w:tmpl w:val="F9EA2CE0"/>
    <w:lvl w:ilvl="0">
      <w:start w:val="1"/>
      <w:numFmt w:val="decimal"/>
      <w:suff w:val="space"/>
      <w:lvlText w:val="%1."/>
      <w:lvlJc w:val="left"/>
      <w:pPr>
        <w:ind w:left="227" w:hanging="227"/>
      </w:pPr>
      <w:rPr>
        <w:rFonts w:hint="default"/>
        <w:b/>
        <w:bCs/>
        <w:color w:val="auto"/>
      </w:rPr>
    </w:lvl>
    <w:lvl w:ilvl="1">
      <w:start w:val="1"/>
      <w:numFmt w:val="decimal"/>
      <w:isLgl/>
      <w:lvlText w:val="%1.%2."/>
      <w:lvlJc w:val="left"/>
      <w:pPr>
        <w:ind w:left="360" w:hanging="360"/>
      </w:pPr>
      <w:rPr>
        <w:rFonts w:hint="default"/>
        <w:b/>
        <w:bCs/>
      </w:rPr>
    </w:lvl>
    <w:lvl w:ilvl="2">
      <w:start w:val="1"/>
      <w:numFmt w:val="decimal"/>
      <w:isLgl/>
      <w:suff w:val="space"/>
      <w:lvlText w:val="%1.%2.%3."/>
      <w:lvlJc w:val="left"/>
      <w:pPr>
        <w:ind w:left="227" w:hanging="227"/>
      </w:pPr>
      <w:rPr>
        <w:rFonts w:hint="default"/>
        <w:b/>
        <w:bCs/>
      </w:rPr>
    </w:lvl>
    <w:lvl w:ilvl="3">
      <w:start w:val="1"/>
      <w:numFmt w:val="decimal"/>
      <w:isLgl/>
      <w:suff w:val="space"/>
      <w:lvlText w:val="%4)"/>
      <w:lvlJc w:val="left"/>
      <w:pPr>
        <w:ind w:left="454" w:hanging="227"/>
      </w:pPr>
      <w:rPr>
        <w:rFonts w:ascii="Times New Roman" w:eastAsiaTheme="minorHAnsi" w:hAnsi="Times New Roman" w:cs="Times New Roman"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2816B97"/>
    <w:multiLevelType w:val="multilevel"/>
    <w:tmpl w:val="7E6C75D0"/>
    <w:lvl w:ilvl="0">
      <w:start w:val="1"/>
      <w:numFmt w:val="upperLetter"/>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2" w15:restartNumberingAfterBreak="0">
    <w:nsid w:val="24325A79"/>
    <w:multiLevelType w:val="multilevel"/>
    <w:tmpl w:val="F99C8A36"/>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i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3" w15:restartNumberingAfterBreak="0">
    <w:nsid w:val="2750685F"/>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4" w15:restartNumberingAfterBreak="0">
    <w:nsid w:val="27DF5D50"/>
    <w:multiLevelType w:val="hybridMultilevel"/>
    <w:tmpl w:val="3306C014"/>
    <w:lvl w:ilvl="0" w:tplc="0809001B">
      <w:start w:val="1"/>
      <w:numFmt w:val="lowerRoman"/>
      <w:lvlText w:val="%1."/>
      <w:lvlJc w:val="right"/>
      <w:pPr>
        <w:ind w:left="1210" w:hanging="360"/>
      </w:pPr>
      <w:rPr>
        <w:rFonts w:hint="default"/>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2C434523"/>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6" w15:restartNumberingAfterBreak="0">
    <w:nsid w:val="2EBA5253"/>
    <w:multiLevelType w:val="multilevel"/>
    <w:tmpl w:val="BCC455EA"/>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680" w:hanging="226"/>
      </w:pPr>
      <w:rPr>
        <w:rFonts w:hint="default"/>
      </w:rPr>
    </w:lvl>
    <w:lvl w:ilvl="4">
      <w:start w:val="1"/>
      <w:numFmt w:val="decimal"/>
      <w:suff w:val="space"/>
      <w:lvlText w:val="%5)"/>
      <w:lvlJc w:val="left"/>
      <w:pPr>
        <w:ind w:left="680" w:hanging="226"/>
      </w:pPr>
      <w:rPr>
        <w:rFonts w:ascii="Times New Roman" w:eastAsiaTheme="minorHAnsi" w:hAnsi="Times New Roman" w:cs="Times New Roman"/>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7" w15:restartNumberingAfterBreak="0">
    <w:nsid w:val="2EE95334"/>
    <w:multiLevelType w:val="multilevel"/>
    <w:tmpl w:val="0644CA9C"/>
    <w:lvl w:ilvl="0">
      <w:start w:val="1"/>
      <w:numFmt w:val="decimal"/>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hint="default"/>
        <w:b w:val="0"/>
        <w:b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8" w15:restartNumberingAfterBreak="0">
    <w:nsid w:val="35D140C4"/>
    <w:multiLevelType w:val="multilevel"/>
    <w:tmpl w:val="D7EC0EF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9" w15:restartNumberingAfterBreak="0">
    <w:nsid w:val="3D5C2875"/>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0" w15:restartNumberingAfterBreak="0">
    <w:nsid w:val="40D4406E"/>
    <w:multiLevelType w:val="multilevel"/>
    <w:tmpl w:val="A9C0B6B0"/>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b/>
        <w:bCs/>
        <w:i w:val="0"/>
        <w:iCs w:val="0"/>
      </w:rPr>
    </w:lvl>
    <w:lvl w:ilvl="2">
      <w:start w:val="1"/>
      <w:numFmt w:val="decimal"/>
      <w:suff w:val="space"/>
      <w:lvlText w:val="%3)"/>
      <w:lvlJc w:val="left"/>
      <w:pPr>
        <w:ind w:left="454" w:hanging="227"/>
      </w:pPr>
      <w:rPr>
        <w:rFonts w:hint="default"/>
      </w:rPr>
    </w:lvl>
    <w:lvl w:ilvl="3">
      <w:start w:val="1"/>
      <w:numFmt w:val="lowerLetter"/>
      <w:suff w:val="space"/>
      <w:lvlText w:val="%4)"/>
      <w:lvlJc w:val="left"/>
      <w:pPr>
        <w:ind w:left="680" w:hanging="226"/>
      </w:pPr>
      <w:rPr>
        <w:rFonts w:ascii="Times New Roman" w:eastAsiaTheme="minorHAnsi" w:hAnsi="Times New Roman" w:cs="Times New Roman" w:hint="default"/>
        <w:b w:val="0"/>
        <w:bCs w:val="0"/>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1" w15:restartNumberingAfterBreak="0">
    <w:nsid w:val="418D1096"/>
    <w:multiLevelType w:val="hybridMultilevel"/>
    <w:tmpl w:val="5B8ED4E6"/>
    <w:lvl w:ilvl="0" w:tplc="546656F8">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CD2B2B"/>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3" w15:restartNumberingAfterBreak="0">
    <w:nsid w:val="493B1DA9"/>
    <w:multiLevelType w:val="multilevel"/>
    <w:tmpl w:val="7E6C75D0"/>
    <w:lvl w:ilvl="0">
      <w:start w:val="1"/>
      <w:numFmt w:val="upperLetter"/>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4" w15:restartNumberingAfterBreak="0">
    <w:nsid w:val="4C686581"/>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5" w15:restartNumberingAfterBreak="0">
    <w:nsid w:val="4DA87CE5"/>
    <w:multiLevelType w:val="multilevel"/>
    <w:tmpl w:val="285C99DE"/>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6" w15:restartNumberingAfterBreak="0">
    <w:nsid w:val="4E4E5151"/>
    <w:multiLevelType w:val="hybridMultilevel"/>
    <w:tmpl w:val="B6B00A18"/>
    <w:lvl w:ilvl="0" w:tplc="0CEC0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A709E1"/>
    <w:multiLevelType w:val="hybridMultilevel"/>
    <w:tmpl w:val="38FEB4C6"/>
    <w:lvl w:ilvl="0" w:tplc="D958908A">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3B45A4"/>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9" w15:restartNumberingAfterBreak="0">
    <w:nsid w:val="58840776"/>
    <w:multiLevelType w:val="multilevel"/>
    <w:tmpl w:val="E98A126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0" w15:restartNumberingAfterBreak="0">
    <w:nsid w:val="65AE1F66"/>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1" w15:restartNumberingAfterBreak="0">
    <w:nsid w:val="6A7029A5"/>
    <w:multiLevelType w:val="hybridMultilevel"/>
    <w:tmpl w:val="A0CE8D4E"/>
    <w:lvl w:ilvl="0" w:tplc="0CEC034A">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2" w15:restartNumberingAfterBreak="0">
    <w:nsid w:val="6EEE00AF"/>
    <w:multiLevelType w:val="multilevel"/>
    <w:tmpl w:val="A756200E"/>
    <w:lvl w:ilvl="0">
      <w:start w:val="1"/>
      <w:numFmt w:val="decimal"/>
      <w:lvlText w:val="%1."/>
      <w:lvlJc w:val="left"/>
      <w:pPr>
        <w:ind w:left="360" w:hanging="360"/>
      </w:pPr>
      <w:rPr>
        <w:rFonts w:hint="default"/>
      </w:rPr>
    </w:lvl>
    <w:lvl w:ilvl="1">
      <w:start w:val="1"/>
      <w:numFmt w:val="decimal"/>
      <w:suff w:val="space"/>
      <w:lvlText w:val="%2)"/>
      <w:lvlJc w:val="left"/>
      <w:pPr>
        <w:ind w:left="454" w:hanging="227"/>
      </w:pPr>
      <w:rPr>
        <w:rFonts w:ascii="Times New Roman" w:eastAsiaTheme="minorHAnsi" w:hAnsi="Times New Roman" w:cstheme="minorBidi"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965E31"/>
    <w:multiLevelType w:val="hybridMultilevel"/>
    <w:tmpl w:val="02B2EA12"/>
    <w:lvl w:ilvl="0" w:tplc="F4085D1E">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4A6F8E"/>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5" w15:restartNumberingAfterBreak="0">
    <w:nsid w:val="768054B5"/>
    <w:multiLevelType w:val="multilevel"/>
    <w:tmpl w:val="0562C34C"/>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680" w:hanging="226"/>
      </w:pPr>
      <w:rPr>
        <w:rFonts w:ascii="Times New Roman" w:eastAsiaTheme="minorHAnsi" w:hAnsi="Times New Roman" w:cs="Times New Roman"/>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6" w15:restartNumberingAfterBreak="0">
    <w:nsid w:val="79C66D7A"/>
    <w:multiLevelType w:val="multilevel"/>
    <w:tmpl w:val="10FE2308"/>
    <w:lvl w:ilvl="0">
      <w:start w:val="1"/>
      <w:numFmt w:val="decimal"/>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hint="default"/>
        <w:b w:val="0"/>
        <w:bCs w:val="0"/>
        <w:i w:val="0"/>
        <w:i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num w:numId="1" w16cid:durableId="846090562">
    <w:abstractNumId w:val="0"/>
  </w:num>
  <w:num w:numId="2" w16cid:durableId="299268111">
    <w:abstractNumId w:val="12"/>
  </w:num>
  <w:num w:numId="3" w16cid:durableId="429082548">
    <w:abstractNumId w:val="15"/>
  </w:num>
  <w:num w:numId="4" w16cid:durableId="730079051">
    <w:abstractNumId w:val="8"/>
  </w:num>
  <w:num w:numId="5" w16cid:durableId="1253859728">
    <w:abstractNumId w:val="20"/>
  </w:num>
  <w:num w:numId="6" w16cid:durableId="778378671">
    <w:abstractNumId w:val="16"/>
  </w:num>
  <w:num w:numId="7" w16cid:durableId="695156920">
    <w:abstractNumId w:val="17"/>
  </w:num>
  <w:num w:numId="8" w16cid:durableId="1309823933">
    <w:abstractNumId w:val="11"/>
  </w:num>
  <w:num w:numId="9" w16cid:durableId="156844321">
    <w:abstractNumId w:val="23"/>
  </w:num>
  <w:num w:numId="10" w16cid:durableId="909576012">
    <w:abstractNumId w:val="36"/>
  </w:num>
  <w:num w:numId="11" w16cid:durableId="1694260814">
    <w:abstractNumId w:val="35"/>
  </w:num>
  <w:num w:numId="12" w16cid:durableId="1261985772">
    <w:abstractNumId w:val="14"/>
  </w:num>
  <w:num w:numId="13" w16cid:durableId="1632860892">
    <w:abstractNumId w:val="28"/>
  </w:num>
  <w:num w:numId="14" w16cid:durableId="485054824">
    <w:abstractNumId w:val="32"/>
  </w:num>
  <w:num w:numId="15" w16cid:durableId="2061587947">
    <w:abstractNumId w:val="9"/>
  </w:num>
  <w:num w:numId="16" w16cid:durableId="617184473">
    <w:abstractNumId w:val="4"/>
  </w:num>
  <w:num w:numId="17" w16cid:durableId="1525746000">
    <w:abstractNumId w:val="1"/>
  </w:num>
  <w:num w:numId="18" w16cid:durableId="1180973400">
    <w:abstractNumId w:val="19"/>
  </w:num>
  <w:num w:numId="19" w16cid:durableId="2098792513">
    <w:abstractNumId w:val="34"/>
  </w:num>
  <w:num w:numId="20" w16cid:durableId="1422992983">
    <w:abstractNumId w:val="24"/>
  </w:num>
  <w:num w:numId="21" w16cid:durableId="1176381491">
    <w:abstractNumId w:val="22"/>
  </w:num>
  <w:num w:numId="22" w16cid:durableId="1333531934">
    <w:abstractNumId w:val="30"/>
  </w:num>
  <w:num w:numId="23" w16cid:durableId="1316254139">
    <w:abstractNumId w:val="5"/>
  </w:num>
  <w:num w:numId="24" w16cid:durableId="1287276774">
    <w:abstractNumId w:val="2"/>
  </w:num>
  <w:num w:numId="25" w16cid:durableId="819810613">
    <w:abstractNumId w:val="6"/>
  </w:num>
  <w:num w:numId="26" w16cid:durableId="1463235439">
    <w:abstractNumId w:val="31"/>
  </w:num>
  <w:num w:numId="27" w16cid:durableId="1373119041">
    <w:abstractNumId w:val="13"/>
  </w:num>
  <w:num w:numId="28" w16cid:durableId="1034113506">
    <w:abstractNumId w:val="10"/>
  </w:num>
  <w:num w:numId="29" w16cid:durableId="980156899">
    <w:abstractNumId w:val="3"/>
  </w:num>
  <w:num w:numId="30" w16cid:durableId="1017930526">
    <w:abstractNumId w:val="26"/>
  </w:num>
  <w:num w:numId="31" w16cid:durableId="1525172340">
    <w:abstractNumId w:val="21"/>
  </w:num>
  <w:num w:numId="32" w16cid:durableId="1735270844">
    <w:abstractNumId w:val="27"/>
  </w:num>
  <w:num w:numId="33" w16cid:durableId="415980522">
    <w:abstractNumId w:val="33"/>
  </w:num>
  <w:num w:numId="34" w16cid:durableId="1889612491">
    <w:abstractNumId w:val="25"/>
  </w:num>
  <w:num w:numId="35" w16cid:durableId="684328383">
    <w:abstractNumId w:val="7"/>
  </w:num>
  <w:num w:numId="36" w16cid:durableId="1331445212">
    <w:abstractNumId w:val="18"/>
  </w:num>
  <w:num w:numId="37" w16cid:durableId="166974621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B3"/>
    <w:rsid w:val="000008E4"/>
    <w:rsid w:val="000015A5"/>
    <w:rsid w:val="0000494C"/>
    <w:rsid w:val="00004F5A"/>
    <w:rsid w:val="000113DD"/>
    <w:rsid w:val="00011D88"/>
    <w:rsid w:val="0001368F"/>
    <w:rsid w:val="00014738"/>
    <w:rsid w:val="0001571C"/>
    <w:rsid w:val="0001698A"/>
    <w:rsid w:val="00016F82"/>
    <w:rsid w:val="0001744E"/>
    <w:rsid w:val="0002234C"/>
    <w:rsid w:val="00025812"/>
    <w:rsid w:val="00025874"/>
    <w:rsid w:val="00027F4D"/>
    <w:rsid w:val="000305C6"/>
    <w:rsid w:val="00030AF1"/>
    <w:rsid w:val="00030E14"/>
    <w:rsid w:val="0003264D"/>
    <w:rsid w:val="00032C0A"/>
    <w:rsid w:val="00033F8D"/>
    <w:rsid w:val="00034B19"/>
    <w:rsid w:val="00041CC4"/>
    <w:rsid w:val="00042729"/>
    <w:rsid w:val="00042E94"/>
    <w:rsid w:val="0004342E"/>
    <w:rsid w:val="00043DA7"/>
    <w:rsid w:val="00044D2A"/>
    <w:rsid w:val="00045FC9"/>
    <w:rsid w:val="00046499"/>
    <w:rsid w:val="000466CA"/>
    <w:rsid w:val="00047B3C"/>
    <w:rsid w:val="000524CC"/>
    <w:rsid w:val="00052D45"/>
    <w:rsid w:val="00052FDB"/>
    <w:rsid w:val="0005301A"/>
    <w:rsid w:val="00053B83"/>
    <w:rsid w:val="0005531F"/>
    <w:rsid w:val="000554E0"/>
    <w:rsid w:val="00066490"/>
    <w:rsid w:val="000673DE"/>
    <w:rsid w:val="00067CD7"/>
    <w:rsid w:val="00067EFA"/>
    <w:rsid w:val="0007010B"/>
    <w:rsid w:val="00073118"/>
    <w:rsid w:val="00073160"/>
    <w:rsid w:val="000735BA"/>
    <w:rsid w:val="00075734"/>
    <w:rsid w:val="00075B4B"/>
    <w:rsid w:val="0007675D"/>
    <w:rsid w:val="00076DA6"/>
    <w:rsid w:val="00077C1D"/>
    <w:rsid w:val="000800CC"/>
    <w:rsid w:val="00080506"/>
    <w:rsid w:val="00081CB1"/>
    <w:rsid w:val="0008217D"/>
    <w:rsid w:val="00085364"/>
    <w:rsid w:val="00087BBC"/>
    <w:rsid w:val="00087D92"/>
    <w:rsid w:val="00090C2D"/>
    <w:rsid w:val="000924F5"/>
    <w:rsid w:val="00092CD1"/>
    <w:rsid w:val="00093560"/>
    <w:rsid w:val="00093B4C"/>
    <w:rsid w:val="0009438F"/>
    <w:rsid w:val="00095012"/>
    <w:rsid w:val="0009531F"/>
    <w:rsid w:val="00095D55"/>
    <w:rsid w:val="000965C3"/>
    <w:rsid w:val="000A01E5"/>
    <w:rsid w:val="000A617D"/>
    <w:rsid w:val="000A634E"/>
    <w:rsid w:val="000A76A9"/>
    <w:rsid w:val="000B0F86"/>
    <w:rsid w:val="000B1ED4"/>
    <w:rsid w:val="000B5858"/>
    <w:rsid w:val="000B6150"/>
    <w:rsid w:val="000B7FE1"/>
    <w:rsid w:val="000C2143"/>
    <w:rsid w:val="000C323A"/>
    <w:rsid w:val="000C3AEA"/>
    <w:rsid w:val="000C47EB"/>
    <w:rsid w:val="000C4C79"/>
    <w:rsid w:val="000C55DD"/>
    <w:rsid w:val="000C7210"/>
    <w:rsid w:val="000C7EC5"/>
    <w:rsid w:val="000D08F6"/>
    <w:rsid w:val="000D5916"/>
    <w:rsid w:val="000E0057"/>
    <w:rsid w:val="000E2051"/>
    <w:rsid w:val="000E3FC3"/>
    <w:rsid w:val="000F21FF"/>
    <w:rsid w:val="000F66A2"/>
    <w:rsid w:val="0010044D"/>
    <w:rsid w:val="0010069B"/>
    <w:rsid w:val="00101248"/>
    <w:rsid w:val="00101993"/>
    <w:rsid w:val="00102271"/>
    <w:rsid w:val="00103424"/>
    <w:rsid w:val="00104D6D"/>
    <w:rsid w:val="00105681"/>
    <w:rsid w:val="00106353"/>
    <w:rsid w:val="001065E3"/>
    <w:rsid w:val="001103E3"/>
    <w:rsid w:val="00110556"/>
    <w:rsid w:val="00114663"/>
    <w:rsid w:val="00114FB8"/>
    <w:rsid w:val="00116108"/>
    <w:rsid w:val="001164D0"/>
    <w:rsid w:val="00116B08"/>
    <w:rsid w:val="00117C9D"/>
    <w:rsid w:val="00120009"/>
    <w:rsid w:val="00120EB0"/>
    <w:rsid w:val="00122EEE"/>
    <w:rsid w:val="00123553"/>
    <w:rsid w:val="00124BC3"/>
    <w:rsid w:val="00130873"/>
    <w:rsid w:val="00132C2C"/>
    <w:rsid w:val="001346BB"/>
    <w:rsid w:val="001349B0"/>
    <w:rsid w:val="00135243"/>
    <w:rsid w:val="001379EE"/>
    <w:rsid w:val="00137D92"/>
    <w:rsid w:val="001400D1"/>
    <w:rsid w:val="00140FE5"/>
    <w:rsid w:val="00142FE4"/>
    <w:rsid w:val="001434F3"/>
    <w:rsid w:val="00145B53"/>
    <w:rsid w:val="00145E5D"/>
    <w:rsid w:val="0014670D"/>
    <w:rsid w:val="00146D02"/>
    <w:rsid w:val="00150865"/>
    <w:rsid w:val="0015391B"/>
    <w:rsid w:val="001541E8"/>
    <w:rsid w:val="00154E9F"/>
    <w:rsid w:val="001556CE"/>
    <w:rsid w:val="00163D1A"/>
    <w:rsid w:val="001642C4"/>
    <w:rsid w:val="0016438D"/>
    <w:rsid w:val="001655F7"/>
    <w:rsid w:val="00165AEB"/>
    <w:rsid w:val="00166017"/>
    <w:rsid w:val="00166134"/>
    <w:rsid w:val="001707D1"/>
    <w:rsid w:val="00173552"/>
    <w:rsid w:val="0017388B"/>
    <w:rsid w:val="0017558F"/>
    <w:rsid w:val="00175C79"/>
    <w:rsid w:val="001772EB"/>
    <w:rsid w:val="00177763"/>
    <w:rsid w:val="00184BCF"/>
    <w:rsid w:val="0018627D"/>
    <w:rsid w:val="0018723E"/>
    <w:rsid w:val="001873F1"/>
    <w:rsid w:val="00187D07"/>
    <w:rsid w:val="00187DDC"/>
    <w:rsid w:val="001900D6"/>
    <w:rsid w:val="00190A01"/>
    <w:rsid w:val="00190CAB"/>
    <w:rsid w:val="00190DCA"/>
    <w:rsid w:val="00191FAE"/>
    <w:rsid w:val="00192642"/>
    <w:rsid w:val="00192EFA"/>
    <w:rsid w:val="001934BC"/>
    <w:rsid w:val="00193F9C"/>
    <w:rsid w:val="00194235"/>
    <w:rsid w:val="001973E9"/>
    <w:rsid w:val="001A0FEB"/>
    <w:rsid w:val="001A4F0E"/>
    <w:rsid w:val="001A6AA0"/>
    <w:rsid w:val="001A6D6D"/>
    <w:rsid w:val="001B2161"/>
    <w:rsid w:val="001B494F"/>
    <w:rsid w:val="001B5FE0"/>
    <w:rsid w:val="001B6797"/>
    <w:rsid w:val="001C3BD2"/>
    <w:rsid w:val="001D0F83"/>
    <w:rsid w:val="001D1303"/>
    <w:rsid w:val="001D15F3"/>
    <w:rsid w:val="001D1AFC"/>
    <w:rsid w:val="001D29BC"/>
    <w:rsid w:val="001D36F6"/>
    <w:rsid w:val="001E0520"/>
    <w:rsid w:val="001E3940"/>
    <w:rsid w:val="001E4058"/>
    <w:rsid w:val="001F323C"/>
    <w:rsid w:val="001F6448"/>
    <w:rsid w:val="001F691A"/>
    <w:rsid w:val="001F734C"/>
    <w:rsid w:val="00200C20"/>
    <w:rsid w:val="0020147E"/>
    <w:rsid w:val="00201AB3"/>
    <w:rsid w:val="00204989"/>
    <w:rsid w:val="00210853"/>
    <w:rsid w:val="0021172D"/>
    <w:rsid w:val="0021220A"/>
    <w:rsid w:val="002135F6"/>
    <w:rsid w:val="002147DF"/>
    <w:rsid w:val="002168E9"/>
    <w:rsid w:val="002169B4"/>
    <w:rsid w:val="002177F1"/>
    <w:rsid w:val="00217A21"/>
    <w:rsid w:val="00220BE5"/>
    <w:rsid w:val="0022336C"/>
    <w:rsid w:val="00223723"/>
    <w:rsid w:val="00224921"/>
    <w:rsid w:val="0022569C"/>
    <w:rsid w:val="0023184E"/>
    <w:rsid w:val="002358F9"/>
    <w:rsid w:val="0023636F"/>
    <w:rsid w:val="0024554B"/>
    <w:rsid w:val="002517A0"/>
    <w:rsid w:val="00251A78"/>
    <w:rsid w:val="00254EF2"/>
    <w:rsid w:val="00260EC5"/>
    <w:rsid w:val="00261FF9"/>
    <w:rsid w:val="00262896"/>
    <w:rsid w:val="002650CF"/>
    <w:rsid w:val="0026588B"/>
    <w:rsid w:val="00266520"/>
    <w:rsid w:val="00267FA7"/>
    <w:rsid w:val="002716CE"/>
    <w:rsid w:val="0027217B"/>
    <w:rsid w:val="00273255"/>
    <w:rsid w:val="00274D5F"/>
    <w:rsid w:val="00275069"/>
    <w:rsid w:val="00277EC4"/>
    <w:rsid w:val="00280892"/>
    <w:rsid w:val="00281512"/>
    <w:rsid w:val="00282AE8"/>
    <w:rsid w:val="00283742"/>
    <w:rsid w:val="00284320"/>
    <w:rsid w:val="002864B4"/>
    <w:rsid w:val="00287E0A"/>
    <w:rsid w:val="00287FA4"/>
    <w:rsid w:val="00290B2B"/>
    <w:rsid w:val="00290C41"/>
    <w:rsid w:val="00292B69"/>
    <w:rsid w:val="002937A1"/>
    <w:rsid w:val="00295F36"/>
    <w:rsid w:val="00297632"/>
    <w:rsid w:val="002B0846"/>
    <w:rsid w:val="002B45E4"/>
    <w:rsid w:val="002B4619"/>
    <w:rsid w:val="002C019A"/>
    <w:rsid w:val="002C0455"/>
    <w:rsid w:val="002C1067"/>
    <w:rsid w:val="002C1496"/>
    <w:rsid w:val="002C3BC0"/>
    <w:rsid w:val="002C77E4"/>
    <w:rsid w:val="002D1779"/>
    <w:rsid w:val="002D32C4"/>
    <w:rsid w:val="002D3F99"/>
    <w:rsid w:val="002D6093"/>
    <w:rsid w:val="002E098E"/>
    <w:rsid w:val="002E2BA7"/>
    <w:rsid w:val="002E3D72"/>
    <w:rsid w:val="002E4BF2"/>
    <w:rsid w:val="002F0A29"/>
    <w:rsid w:val="002F3AA2"/>
    <w:rsid w:val="002F77E0"/>
    <w:rsid w:val="002F781A"/>
    <w:rsid w:val="002F799F"/>
    <w:rsid w:val="002F7ACF"/>
    <w:rsid w:val="00300220"/>
    <w:rsid w:val="0030114A"/>
    <w:rsid w:val="003019AD"/>
    <w:rsid w:val="00305EE4"/>
    <w:rsid w:val="00307001"/>
    <w:rsid w:val="003103B9"/>
    <w:rsid w:val="003116FE"/>
    <w:rsid w:val="003141BE"/>
    <w:rsid w:val="00315934"/>
    <w:rsid w:val="00316ADB"/>
    <w:rsid w:val="0032281D"/>
    <w:rsid w:val="00322E07"/>
    <w:rsid w:val="00323081"/>
    <w:rsid w:val="0032771D"/>
    <w:rsid w:val="00330174"/>
    <w:rsid w:val="003302B6"/>
    <w:rsid w:val="00332197"/>
    <w:rsid w:val="003362C4"/>
    <w:rsid w:val="00336C57"/>
    <w:rsid w:val="00342BC3"/>
    <w:rsid w:val="00343CAC"/>
    <w:rsid w:val="00344EAF"/>
    <w:rsid w:val="00346826"/>
    <w:rsid w:val="0035220F"/>
    <w:rsid w:val="00353AF3"/>
    <w:rsid w:val="00356192"/>
    <w:rsid w:val="003566FB"/>
    <w:rsid w:val="0035672C"/>
    <w:rsid w:val="00357DA2"/>
    <w:rsid w:val="00364AF5"/>
    <w:rsid w:val="003719D8"/>
    <w:rsid w:val="003729BE"/>
    <w:rsid w:val="00372AA6"/>
    <w:rsid w:val="0037425F"/>
    <w:rsid w:val="0037489F"/>
    <w:rsid w:val="003749A0"/>
    <w:rsid w:val="00374BFC"/>
    <w:rsid w:val="003759E5"/>
    <w:rsid w:val="00375ADD"/>
    <w:rsid w:val="00376EFD"/>
    <w:rsid w:val="00377C29"/>
    <w:rsid w:val="00380502"/>
    <w:rsid w:val="00383AB7"/>
    <w:rsid w:val="00384DFD"/>
    <w:rsid w:val="00387354"/>
    <w:rsid w:val="00390885"/>
    <w:rsid w:val="003926E0"/>
    <w:rsid w:val="003936F0"/>
    <w:rsid w:val="00394E62"/>
    <w:rsid w:val="003951B4"/>
    <w:rsid w:val="0039592D"/>
    <w:rsid w:val="003967FC"/>
    <w:rsid w:val="0039744B"/>
    <w:rsid w:val="003A131B"/>
    <w:rsid w:val="003A168B"/>
    <w:rsid w:val="003A2969"/>
    <w:rsid w:val="003A3198"/>
    <w:rsid w:val="003A34FC"/>
    <w:rsid w:val="003A3831"/>
    <w:rsid w:val="003A5559"/>
    <w:rsid w:val="003B4D00"/>
    <w:rsid w:val="003B5245"/>
    <w:rsid w:val="003C21AB"/>
    <w:rsid w:val="003C2CDC"/>
    <w:rsid w:val="003C3289"/>
    <w:rsid w:val="003C365D"/>
    <w:rsid w:val="003C4BD7"/>
    <w:rsid w:val="003C653D"/>
    <w:rsid w:val="003C69E3"/>
    <w:rsid w:val="003D19E1"/>
    <w:rsid w:val="003E0B8E"/>
    <w:rsid w:val="003E147B"/>
    <w:rsid w:val="003E5C10"/>
    <w:rsid w:val="003E67B2"/>
    <w:rsid w:val="003E7F57"/>
    <w:rsid w:val="003F0B59"/>
    <w:rsid w:val="003F11B6"/>
    <w:rsid w:val="003F26E9"/>
    <w:rsid w:val="003F4211"/>
    <w:rsid w:val="003F6BE1"/>
    <w:rsid w:val="003F70AC"/>
    <w:rsid w:val="003F73E8"/>
    <w:rsid w:val="00401C65"/>
    <w:rsid w:val="004104AD"/>
    <w:rsid w:val="00410D04"/>
    <w:rsid w:val="0041228D"/>
    <w:rsid w:val="0041288D"/>
    <w:rsid w:val="00412BCF"/>
    <w:rsid w:val="004134A7"/>
    <w:rsid w:val="004172B0"/>
    <w:rsid w:val="004207AE"/>
    <w:rsid w:val="004213D0"/>
    <w:rsid w:val="00421775"/>
    <w:rsid w:val="00422F3B"/>
    <w:rsid w:val="0042338F"/>
    <w:rsid w:val="00425CC5"/>
    <w:rsid w:val="0042640C"/>
    <w:rsid w:val="00426B56"/>
    <w:rsid w:val="0043006B"/>
    <w:rsid w:val="004307B9"/>
    <w:rsid w:val="00434D6B"/>
    <w:rsid w:val="00435124"/>
    <w:rsid w:val="0043594B"/>
    <w:rsid w:val="00440FE0"/>
    <w:rsid w:val="00442956"/>
    <w:rsid w:val="00447EA7"/>
    <w:rsid w:val="004516BB"/>
    <w:rsid w:val="00461279"/>
    <w:rsid w:val="00461F75"/>
    <w:rsid w:val="00462AE0"/>
    <w:rsid w:val="00463C7E"/>
    <w:rsid w:val="00464195"/>
    <w:rsid w:val="0046650A"/>
    <w:rsid w:val="0047308E"/>
    <w:rsid w:val="00473641"/>
    <w:rsid w:val="004754DE"/>
    <w:rsid w:val="004760AF"/>
    <w:rsid w:val="0047702E"/>
    <w:rsid w:val="004810CC"/>
    <w:rsid w:val="0048143F"/>
    <w:rsid w:val="00481ACF"/>
    <w:rsid w:val="00483FE7"/>
    <w:rsid w:val="00493DCD"/>
    <w:rsid w:val="00495252"/>
    <w:rsid w:val="00496260"/>
    <w:rsid w:val="00496844"/>
    <w:rsid w:val="0049684D"/>
    <w:rsid w:val="004976CD"/>
    <w:rsid w:val="004A138B"/>
    <w:rsid w:val="004A1600"/>
    <w:rsid w:val="004A1CAF"/>
    <w:rsid w:val="004A1E93"/>
    <w:rsid w:val="004A3D33"/>
    <w:rsid w:val="004A50DE"/>
    <w:rsid w:val="004A59F4"/>
    <w:rsid w:val="004A70EE"/>
    <w:rsid w:val="004A7B11"/>
    <w:rsid w:val="004B0068"/>
    <w:rsid w:val="004B0C04"/>
    <w:rsid w:val="004B35BF"/>
    <w:rsid w:val="004B5291"/>
    <w:rsid w:val="004B5353"/>
    <w:rsid w:val="004B536F"/>
    <w:rsid w:val="004B5D96"/>
    <w:rsid w:val="004B7EAA"/>
    <w:rsid w:val="004B7ECD"/>
    <w:rsid w:val="004B7F56"/>
    <w:rsid w:val="004C1AFC"/>
    <w:rsid w:val="004C2D5A"/>
    <w:rsid w:val="004C2FE1"/>
    <w:rsid w:val="004C4C49"/>
    <w:rsid w:val="004C7398"/>
    <w:rsid w:val="004D1195"/>
    <w:rsid w:val="004D1434"/>
    <w:rsid w:val="004D1C45"/>
    <w:rsid w:val="004D2510"/>
    <w:rsid w:val="004E230F"/>
    <w:rsid w:val="004E249A"/>
    <w:rsid w:val="004E2E2B"/>
    <w:rsid w:val="004E2FE9"/>
    <w:rsid w:val="004E38FF"/>
    <w:rsid w:val="004E4084"/>
    <w:rsid w:val="004F179C"/>
    <w:rsid w:val="004F35AD"/>
    <w:rsid w:val="004F3AAE"/>
    <w:rsid w:val="004F595B"/>
    <w:rsid w:val="004F6D4D"/>
    <w:rsid w:val="004F7453"/>
    <w:rsid w:val="00500CF1"/>
    <w:rsid w:val="0050269B"/>
    <w:rsid w:val="00503AB8"/>
    <w:rsid w:val="005049B9"/>
    <w:rsid w:val="005062EF"/>
    <w:rsid w:val="00506905"/>
    <w:rsid w:val="00507A3F"/>
    <w:rsid w:val="0051253E"/>
    <w:rsid w:val="00512CB3"/>
    <w:rsid w:val="0051424B"/>
    <w:rsid w:val="00521805"/>
    <w:rsid w:val="00526AD7"/>
    <w:rsid w:val="00527AB9"/>
    <w:rsid w:val="00531B76"/>
    <w:rsid w:val="00534EA6"/>
    <w:rsid w:val="00536BCA"/>
    <w:rsid w:val="00540675"/>
    <w:rsid w:val="00541E3C"/>
    <w:rsid w:val="00546572"/>
    <w:rsid w:val="00546CFA"/>
    <w:rsid w:val="00547334"/>
    <w:rsid w:val="005500F7"/>
    <w:rsid w:val="0055267E"/>
    <w:rsid w:val="00552DC6"/>
    <w:rsid w:val="005532F6"/>
    <w:rsid w:val="0055369A"/>
    <w:rsid w:val="00553BE0"/>
    <w:rsid w:val="00555C17"/>
    <w:rsid w:val="00556D3F"/>
    <w:rsid w:val="005578E4"/>
    <w:rsid w:val="00562439"/>
    <w:rsid w:val="0056528F"/>
    <w:rsid w:val="00567284"/>
    <w:rsid w:val="00573267"/>
    <w:rsid w:val="0057343E"/>
    <w:rsid w:val="0057709D"/>
    <w:rsid w:val="00577F8C"/>
    <w:rsid w:val="00580D2E"/>
    <w:rsid w:val="0058604A"/>
    <w:rsid w:val="00586C6E"/>
    <w:rsid w:val="00592466"/>
    <w:rsid w:val="0059564A"/>
    <w:rsid w:val="00595CED"/>
    <w:rsid w:val="00596468"/>
    <w:rsid w:val="005A2520"/>
    <w:rsid w:val="005A652A"/>
    <w:rsid w:val="005B07F1"/>
    <w:rsid w:val="005B4603"/>
    <w:rsid w:val="005B59D3"/>
    <w:rsid w:val="005B678D"/>
    <w:rsid w:val="005C02A6"/>
    <w:rsid w:val="005C1BF7"/>
    <w:rsid w:val="005C2959"/>
    <w:rsid w:val="005C3A5C"/>
    <w:rsid w:val="005C3FE9"/>
    <w:rsid w:val="005D18A9"/>
    <w:rsid w:val="005D1DBE"/>
    <w:rsid w:val="005D494F"/>
    <w:rsid w:val="005D6134"/>
    <w:rsid w:val="005D6B47"/>
    <w:rsid w:val="005D6B62"/>
    <w:rsid w:val="005D7247"/>
    <w:rsid w:val="005E4439"/>
    <w:rsid w:val="005E4D46"/>
    <w:rsid w:val="005E4DFF"/>
    <w:rsid w:val="005E6763"/>
    <w:rsid w:val="005E6DE1"/>
    <w:rsid w:val="005F1A55"/>
    <w:rsid w:val="005F27E6"/>
    <w:rsid w:val="005F67BB"/>
    <w:rsid w:val="005F746D"/>
    <w:rsid w:val="006004FC"/>
    <w:rsid w:val="0060064F"/>
    <w:rsid w:val="00600E25"/>
    <w:rsid w:val="00601603"/>
    <w:rsid w:val="0060616F"/>
    <w:rsid w:val="0060713C"/>
    <w:rsid w:val="006113AA"/>
    <w:rsid w:val="00613477"/>
    <w:rsid w:val="00615904"/>
    <w:rsid w:val="00617F7A"/>
    <w:rsid w:val="006208C1"/>
    <w:rsid w:val="00622147"/>
    <w:rsid w:val="0062601E"/>
    <w:rsid w:val="0063022D"/>
    <w:rsid w:val="00630F30"/>
    <w:rsid w:val="00630FC9"/>
    <w:rsid w:val="0063226E"/>
    <w:rsid w:val="00635D31"/>
    <w:rsid w:val="00636BC7"/>
    <w:rsid w:val="00642AA4"/>
    <w:rsid w:val="00642EFB"/>
    <w:rsid w:val="00644AD8"/>
    <w:rsid w:val="00650F7E"/>
    <w:rsid w:val="006529EE"/>
    <w:rsid w:val="00653DA7"/>
    <w:rsid w:val="00654EAC"/>
    <w:rsid w:val="006617A9"/>
    <w:rsid w:val="006617E7"/>
    <w:rsid w:val="0066377E"/>
    <w:rsid w:val="0066495F"/>
    <w:rsid w:val="00664A6B"/>
    <w:rsid w:val="00664BDA"/>
    <w:rsid w:val="00670C55"/>
    <w:rsid w:val="00671D12"/>
    <w:rsid w:val="0067206F"/>
    <w:rsid w:val="00672537"/>
    <w:rsid w:val="0067254F"/>
    <w:rsid w:val="0067583C"/>
    <w:rsid w:val="00676996"/>
    <w:rsid w:val="00680B80"/>
    <w:rsid w:val="0068243D"/>
    <w:rsid w:val="006834AC"/>
    <w:rsid w:val="00687D33"/>
    <w:rsid w:val="00691866"/>
    <w:rsid w:val="00691D10"/>
    <w:rsid w:val="00694AEB"/>
    <w:rsid w:val="00694C7B"/>
    <w:rsid w:val="00695F92"/>
    <w:rsid w:val="0069745F"/>
    <w:rsid w:val="006A15DD"/>
    <w:rsid w:val="006A3CD2"/>
    <w:rsid w:val="006A5A5E"/>
    <w:rsid w:val="006A6E24"/>
    <w:rsid w:val="006B0A6D"/>
    <w:rsid w:val="006B293E"/>
    <w:rsid w:val="006B53D7"/>
    <w:rsid w:val="006B6B60"/>
    <w:rsid w:val="006C0C20"/>
    <w:rsid w:val="006C15D1"/>
    <w:rsid w:val="006C59D5"/>
    <w:rsid w:val="006C657B"/>
    <w:rsid w:val="006D0931"/>
    <w:rsid w:val="006D20E5"/>
    <w:rsid w:val="006D2BFC"/>
    <w:rsid w:val="006D61C9"/>
    <w:rsid w:val="006D7CA9"/>
    <w:rsid w:val="006E1501"/>
    <w:rsid w:val="006E2CDC"/>
    <w:rsid w:val="006E5A99"/>
    <w:rsid w:val="006E61B3"/>
    <w:rsid w:val="006E6527"/>
    <w:rsid w:val="006F0683"/>
    <w:rsid w:val="006F2006"/>
    <w:rsid w:val="0070207B"/>
    <w:rsid w:val="0070264B"/>
    <w:rsid w:val="00704F09"/>
    <w:rsid w:val="0070537F"/>
    <w:rsid w:val="007129A6"/>
    <w:rsid w:val="00714984"/>
    <w:rsid w:val="0072106F"/>
    <w:rsid w:val="00727682"/>
    <w:rsid w:val="00730CBE"/>
    <w:rsid w:val="007323E6"/>
    <w:rsid w:val="00733D67"/>
    <w:rsid w:val="00733E0B"/>
    <w:rsid w:val="00734C26"/>
    <w:rsid w:val="00736AC6"/>
    <w:rsid w:val="00741373"/>
    <w:rsid w:val="007415B0"/>
    <w:rsid w:val="0074175B"/>
    <w:rsid w:val="00743828"/>
    <w:rsid w:val="0074385F"/>
    <w:rsid w:val="00744339"/>
    <w:rsid w:val="0074609D"/>
    <w:rsid w:val="00746945"/>
    <w:rsid w:val="00752B35"/>
    <w:rsid w:val="0075321E"/>
    <w:rsid w:val="007549D8"/>
    <w:rsid w:val="00760581"/>
    <w:rsid w:val="00760E2B"/>
    <w:rsid w:val="0076398C"/>
    <w:rsid w:val="00763D4C"/>
    <w:rsid w:val="0076684D"/>
    <w:rsid w:val="007704D9"/>
    <w:rsid w:val="00772CC5"/>
    <w:rsid w:val="00774C20"/>
    <w:rsid w:val="00780244"/>
    <w:rsid w:val="00780F7A"/>
    <w:rsid w:val="00781AB6"/>
    <w:rsid w:val="00781DEF"/>
    <w:rsid w:val="00786BEB"/>
    <w:rsid w:val="007877DF"/>
    <w:rsid w:val="00787922"/>
    <w:rsid w:val="00794649"/>
    <w:rsid w:val="0079493B"/>
    <w:rsid w:val="007955F7"/>
    <w:rsid w:val="0079584B"/>
    <w:rsid w:val="00797FA1"/>
    <w:rsid w:val="007A2A0F"/>
    <w:rsid w:val="007A2CD4"/>
    <w:rsid w:val="007A467D"/>
    <w:rsid w:val="007A5959"/>
    <w:rsid w:val="007A6D9A"/>
    <w:rsid w:val="007A7082"/>
    <w:rsid w:val="007A7392"/>
    <w:rsid w:val="007B10FE"/>
    <w:rsid w:val="007B2982"/>
    <w:rsid w:val="007B5E24"/>
    <w:rsid w:val="007B620C"/>
    <w:rsid w:val="007B6C4C"/>
    <w:rsid w:val="007C077B"/>
    <w:rsid w:val="007C0E1E"/>
    <w:rsid w:val="007C132C"/>
    <w:rsid w:val="007C1CB0"/>
    <w:rsid w:val="007C413C"/>
    <w:rsid w:val="007C4D58"/>
    <w:rsid w:val="007C4FFD"/>
    <w:rsid w:val="007C68F7"/>
    <w:rsid w:val="007D0516"/>
    <w:rsid w:val="007D531E"/>
    <w:rsid w:val="007D5FC9"/>
    <w:rsid w:val="007D679F"/>
    <w:rsid w:val="007D74A7"/>
    <w:rsid w:val="007D754A"/>
    <w:rsid w:val="007D799B"/>
    <w:rsid w:val="007E08AD"/>
    <w:rsid w:val="007E0AD4"/>
    <w:rsid w:val="007E1735"/>
    <w:rsid w:val="007E2324"/>
    <w:rsid w:val="007E32BB"/>
    <w:rsid w:val="007E5565"/>
    <w:rsid w:val="007F295C"/>
    <w:rsid w:val="007F69EB"/>
    <w:rsid w:val="0080193D"/>
    <w:rsid w:val="00804774"/>
    <w:rsid w:val="008061BC"/>
    <w:rsid w:val="00806D0A"/>
    <w:rsid w:val="00807D9A"/>
    <w:rsid w:val="0081101D"/>
    <w:rsid w:val="00811666"/>
    <w:rsid w:val="00811C42"/>
    <w:rsid w:val="00816118"/>
    <w:rsid w:val="00816B4C"/>
    <w:rsid w:val="00817F33"/>
    <w:rsid w:val="00823FF9"/>
    <w:rsid w:val="00827F9B"/>
    <w:rsid w:val="00830290"/>
    <w:rsid w:val="00831E64"/>
    <w:rsid w:val="0083384A"/>
    <w:rsid w:val="008370D0"/>
    <w:rsid w:val="00841472"/>
    <w:rsid w:val="00842007"/>
    <w:rsid w:val="0084334C"/>
    <w:rsid w:val="0084439D"/>
    <w:rsid w:val="00845842"/>
    <w:rsid w:val="00845D5B"/>
    <w:rsid w:val="00847779"/>
    <w:rsid w:val="00847D8A"/>
    <w:rsid w:val="00850160"/>
    <w:rsid w:val="008530E3"/>
    <w:rsid w:val="0085439F"/>
    <w:rsid w:val="00863F99"/>
    <w:rsid w:val="00866279"/>
    <w:rsid w:val="00867B9A"/>
    <w:rsid w:val="00870A65"/>
    <w:rsid w:val="00871857"/>
    <w:rsid w:val="00872E86"/>
    <w:rsid w:val="0087438E"/>
    <w:rsid w:val="00875763"/>
    <w:rsid w:val="0087757C"/>
    <w:rsid w:val="008777AA"/>
    <w:rsid w:val="00890119"/>
    <w:rsid w:val="00890185"/>
    <w:rsid w:val="00891AB6"/>
    <w:rsid w:val="00894836"/>
    <w:rsid w:val="008949EE"/>
    <w:rsid w:val="00895D38"/>
    <w:rsid w:val="00896A4A"/>
    <w:rsid w:val="00896EAF"/>
    <w:rsid w:val="008972E3"/>
    <w:rsid w:val="008A0BAA"/>
    <w:rsid w:val="008A0E5D"/>
    <w:rsid w:val="008A1C09"/>
    <w:rsid w:val="008B316F"/>
    <w:rsid w:val="008B7185"/>
    <w:rsid w:val="008C119F"/>
    <w:rsid w:val="008C151D"/>
    <w:rsid w:val="008C189A"/>
    <w:rsid w:val="008C19CD"/>
    <w:rsid w:val="008C1FE6"/>
    <w:rsid w:val="008C3308"/>
    <w:rsid w:val="008D0217"/>
    <w:rsid w:val="008D5D56"/>
    <w:rsid w:val="008D6777"/>
    <w:rsid w:val="008D68EE"/>
    <w:rsid w:val="008E37C0"/>
    <w:rsid w:val="008E49D2"/>
    <w:rsid w:val="008E6425"/>
    <w:rsid w:val="008F0F18"/>
    <w:rsid w:val="008F2D64"/>
    <w:rsid w:val="008F346C"/>
    <w:rsid w:val="008F39F8"/>
    <w:rsid w:val="008F3EF6"/>
    <w:rsid w:val="008F79C4"/>
    <w:rsid w:val="00904A84"/>
    <w:rsid w:val="00907E23"/>
    <w:rsid w:val="00912F7D"/>
    <w:rsid w:val="0091553B"/>
    <w:rsid w:val="009163E0"/>
    <w:rsid w:val="00916DA8"/>
    <w:rsid w:val="009175DF"/>
    <w:rsid w:val="00922E11"/>
    <w:rsid w:val="00925C32"/>
    <w:rsid w:val="009301E8"/>
    <w:rsid w:val="009328FF"/>
    <w:rsid w:val="00934F40"/>
    <w:rsid w:val="00935CEF"/>
    <w:rsid w:val="00937025"/>
    <w:rsid w:val="0093702C"/>
    <w:rsid w:val="009374A3"/>
    <w:rsid w:val="00937E2E"/>
    <w:rsid w:val="00940C20"/>
    <w:rsid w:val="0094142F"/>
    <w:rsid w:val="009420EB"/>
    <w:rsid w:val="00943E80"/>
    <w:rsid w:val="00944EEB"/>
    <w:rsid w:val="00954ADA"/>
    <w:rsid w:val="00954FA5"/>
    <w:rsid w:val="00956F76"/>
    <w:rsid w:val="00960131"/>
    <w:rsid w:val="00963A53"/>
    <w:rsid w:val="0096482C"/>
    <w:rsid w:val="00970E64"/>
    <w:rsid w:val="00974656"/>
    <w:rsid w:val="00975DC7"/>
    <w:rsid w:val="0098115D"/>
    <w:rsid w:val="0098152C"/>
    <w:rsid w:val="009827C8"/>
    <w:rsid w:val="00983118"/>
    <w:rsid w:val="00983734"/>
    <w:rsid w:val="00984A06"/>
    <w:rsid w:val="009866A2"/>
    <w:rsid w:val="00987F92"/>
    <w:rsid w:val="00991DAE"/>
    <w:rsid w:val="00992176"/>
    <w:rsid w:val="00993409"/>
    <w:rsid w:val="00993DBD"/>
    <w:rsid w:val="00993ED2"/>
    <w:rsid w:val="009944CA"/>
    <w:rsid w:val="009945BF"/>
    <w:rsid w:val="009946D7"/>
    <w:rsid w:val="00996772"/>
    <w:rsid w:val="00997109"/>
    <w:rsid w:val="00997396"/>
    <w:rsid w:val="0099762F"/>
    <w:rsid w:val="009A3BBE"/>
    <w:rsid w:val="009A4A5D"/>
    <w:rsid w:val="009A56F2"/>
    <w:rsid w:val="009A6172"/>
    <w:rsid w:val="009A6F58"/>
    <w:rsid w:val="009A7549"/>
    <w:rsid w:val="009B172F"/>
    <w:rsid w:val="009B661A"/>
    <w:rsid w:val="009B6F7D"/>
    <w:rsid w:val="009C0148"/>
    <w:rsid w:val="009C13C8"/>
    <w:rsid w:val="009C2DB3"/>
    <w:rsid w:val="009C4D53"/>
    <w:rsid w:val="009C5240"/>
    <w:rsid w:val="009C605F"/>
    <w:rsid w:val="009C6E48"/>
    <w:rsid w:val="009C7E2B"/>
    <w:rsid w:val="009D0CBA"/>
    <w:rsid w:val="009D1264"/>
    <w:rsid w:val="009D25A3"/>
    <w:rsid w:val="009D3AC9"/>
    <w:rsid w:val="009D4878"/>
    <w:rsid w:val="009D6900"/>
    <w:rsid w:val="009E0491"/>
    <w:rsid w:val="009E2EF7"/>
    <w:rsid w:val="009E3B29"/>
    <w:rsid w:val="009E4CED"/>
    <w:rsid w:val="009E4F27"/>
    <w:rsid w:val="009E5650"/>
    <w:rsid w:val="009E7222"/>
    <w:rsid w:val="009F046F"/>
    <w:rsid w:val="009F13A2"/>
    <w:rsid w:val="009F1DD0"/>
    <w:rsid w:val="009F3ACB"/>
    <w:rsid w:val="009F40D9"/>
    <w:rsid w:val="009F4E96"/>
    <w:rsid w:val="009F6692"/>
    <w:rsid w:val="00A00ABB"/>
    <w:rsid w:val="00A00C7D"/>
    <w:rsid w:val="00A02159"/>
    <w:rsid w:val="00A03CEC"/>
    <w:rsid w:val="00A05098"/>
    <w:rsid w:val="00A0557A"/>
    <w:rsid w:val="00A06E84"/>
    <w:rsid w:val="00A072EE"/>
    <w:rsid w:val="00A1412B"/>
    <w:rsid w:val="00A154A6"/>
    <w:rsid w:val="00A16D60"/>
    <w:rsid w:val="00A17D93"/>
    <w:rsid w:val="00A2003F"/>
    <w:rsid w:val="00A20CB8"/>
    <w:rsid w:val="00A20FAD"/>
    <w:rsid w:val="00A23684"/>
    <w:rsid w:val="00A27CCD"/>
    <w:rsid w:val="00A30156"/>
    <w:rsid w:val="00A31C75"/>
    <w:rsid w:val="00A31D47"/>
    <w:rsid w:val="00A354B3"/>
    <w:rsid w:val="00A365D1"/>
    <w:rsid w:val="00A40D6A"/>
    <w:rsid w:val="00A42865"/>
    <w:rsid w:val="00A42E8F"/>
    <w:rsid w:val="00A455A0"/>
    <w:rsid w:val="00A50FA7"/>
    <w:rsid w:val="00A51038"/>
    <w:rsid w:val="00A569B3"/>
    <w:rsid w:val="00A57E5D"/>
    <w:rsid w:val="00A61B40"/>
    <w:rsid w:val="00A62FA9"/>
    <w:rsid w:val="00A64788"/>
    <w:rsid w:val="00A72F99"/>
    <w:rsid w:val="00A734E4"/>
    <w:rsid w:val="00A7424B"/>
    <w:rsid w:val="00A7431A"/>
    <w:rsid w:val="00A8163E"/>
    <w:rsid w:val="00A81B4E"/>
    <w:rsid w:val="00A82E56"/>
    <w:rsid w:val="00A86284"/>
    <w:rsid w:val="00A875D8"/>
    <w:rsid w:val="00A92033"/>
    <w:rsid w:val="00A9711C"/>
    <w:rsid w:val="00A97140"/>
    <w:rsid w:val="00A97F7A"/>
    <w:rsid w:val="00A97FF1"/>
    <w:rsid w:val="00AA1D26"/>
    <w:rsid w:val="00AA3919"/>
    <w:rsid w:val="00AA4177"/>
    <w:rsid w:val="00AA4FD3"/>
    <w:rsid w:val="00AA5670"/>
    <w:rsid w:val="00AA7F59"/>
    <w:rsid w:val="00AB161A"/>
    <w:rsid w:val="00AB4D97"/>
    <w:rsid w:val="00AB5DB6"/>
    <w:rsid w:val="00AC08E5"/>
    <w:rsid w:val="00AC15E6"/>
    <w:rsid w:val="00AC33FA"/>
    <w:rsid w:val="00AC5E91"/>
    <w:rsid w:val="00AC7912"/>
    <w:rsid w:val="00AC7939"/>
    <w:rsid w:val="00AD1594"/>
    <w:rsid w:val="00AD26A9"/>
    <w:rsid w:val="00AD2FDB"/>
    <w:rsid w:val="00AD4206"/>
    <w:rsid w:val="00AD4681"/>
    <w:rsid w:val="00AD6F24"/>
    <w:rsid w:val="00AD6F58"/>
    <w:rsid w:val="00AD799B"/>
    <w:rsid w:val="00AE0788"/>
    <w:rsid w:val="00AE0E14"/>
    <w:rsid w:val="00AE2D87"/>
    <w:rsid w:val="00AE3A43"/>
    <w:rsid w:val="00AE438B"/>
    <w:rsid w:val="00AE555D"/>
    <w:rsid w:val="00AE55F1"/>
    <w:rsid w:val="00AE59B3"/>
    <w:rsid w:val="00AE6812"/>
    <w:rsid w:val="00AE6BAC"/>
    <w:rsid w:val="00AE7924"/>
    <w:rsid w:val="00AF027B"/>
    <w:rsid w:val="00AF12FD"/>
    <w:rsid w:val="00AF22B8"/>
    <w:rsid w:val="00AF36CB"/>
    <w:rsid w:val="00AF5247"/>
    <w:rsid w:val="00AF5C01"/>
    <w:rsid w:val="00B01066"/>
    <w:rsid w:val="00B030AD"/>
    <w:rsid w:val="00B04A64"/>
    <w:rsid w:val="00B055A8"/>
    <w:rsid w:val="00B06545"/>
    <w:rsid w:val="00B1161C"/>
    <w:rsid w:val="00B14C08"/>
    <w:rsid w:val="00B15EA5"/>
    <w:rsid w:val="00B161CB"/>
    <w:rsid w:val="00B168A3"/>
    <w:rsid w:val="00B17934"/>
    <w:rsid w:val="00B22264"/>
    <w:rsid w:val="00B22FC7"/>
    <w:rsid w:val="00B24DBE"/>
    <w:rsid w:val="00B25866"/>
    <w:rsid w:val="00B25DD6"/>
    <w:rsid w:val="00B27557"/>
    <w:rsid w:val="00B4289E"/>
    <w:rsid w:val="00B4664C"/>
    <w:rsid w:val="00B467D0"/>
    <w:rsid w:val="00B46FCC"/>
    <w:rsid w:val="00B50A3B"/>
    <w:rsid w:val="00B52602"/>
    <w:rsid w:val="00B52646"/>
    <w:rsid w:val="00B537AE"/>
    <w:rsid w:val="00B542D3"/>
    <w:rsid w:val="00B5507B"/>
    <w:rsid w:val="00B55369"/>
    <w:rsid w:val="00B55EC7"/>
    <w:rsid w:val="00B56C97"/>
    <w:rsid w:val="00B60D96"/>
    <w:rsid w:val="00B700FB"/>
    <w:rsid w:val="00B71884"/>
    <w:rsid w:val="00B7400E"/>
    <w:rsid w:val="00B752FC"/>
    <w:rsid w:val="00B76AB9"/>
    <w:rsid w:val="00B7740A"/>
    <w:rsid w:val="00B81E15"/>
    <w:rsid w:val="00B8260B"/>
    <w:rsid w:val="00B83A1E"/>
    <w:rsid w:val="00B85B6E"/>
    <w:rsid w:val="00B87DE4"/>
    <w:rsid w:val="00B9125A"/>
    <w:rsid w:val="00B92A4F"/>
    <w:rsid w:val="00B93AEC"/>
    <w:rsid w:val="00B96E20"/>
    <w:rsid w:val="00B97F65"/>
    <w:rsid w:val="00BA0E6A"/>
    <w:rsid w:val="00BA158D"/>
    <w:rsid w:val="00BA2047"/>
    <w:rsid w:val="00BA4A7D"/>
    <w:rsid w:val="00BA71B0"/>
    <w:rsid w:val="00BB2095"/>
    <w:rsid w:val="00BB4D89"/>
    <w:rsid w:val="00BB593A"/>
    <w:rsid w:val="00BB5B38"/>
    <w:rsid w:val="00BB63EB"/>
    <w:rsid w:val="00BB74BF"/>
    <w:rsid w:val="00BC0D31"/>
    <w:rsid w:val="00BC21BC"/>
    <w:rsid w:val="00BC3CB9"/>
    <w:rsid w:val="00BC6D00"/>
    <w:rsid w:val="00BC7EE7"/>
    <w:rsid w:val="00BD0559"/>
    <w:rsid w:val="00BD1088"/>
    <w:rsid w:val="00BD2397"/>
    <w:rsid w:val="00BD31DD"/>
    <w:rsid w:val="00BD4DC1"/>
    <w:rsid w:val="00BD75CE"/>
    <w:rsid w:val="00BD7937"/>
    <w:rsid w:val="00BE0215"/>
    <w:rsid w:val="00BE2C78"/>
    <w:rsid w:val="00BE5D19"/>
    <w:rsid w:val="00BE6BF3"/>
    <w:rsid w:val="00BF096E"/>
    <w:rsid w:val="00BF152A"/>
    <w:rsid w:val="00BF1EA0"/>
    <w:rsid w:val="00BF5ACD"/>
    <w:rsid w:val="00C01303"/>
    <w:rsid w:val="00C01EBB"/>
    <w:rsid w:val="00C02B31"/>
    <w:rsid w:val="00C03ECF"/>
    <w:rsid w:val="00C03FC9"/>
    <w:rsid w:val="00C04A70"/>
    <w:rsid w:val="00C0511C"/>
    <w:rsid w:val="00C12291"/>
    <w:rsid w:val="00C12A28"/>
    <w:rsid w:val="00C13A28"/>
    <w:rsid w:val="00C14340"/>
    <w:rsid w:val="00C145D4"/>
    <w:rsid w:val="00C14708"/>
    <w:rsid w:val="00C17B36"/>
    <w:rsid w:val="00C22934"/>
    <w:rsid w:val="00C24453"/>
    <w:rsid w:val="00C26B50"/>
    <w:rsid w:val="00C273D5"/>
    <w:rsid w:val="00C27C5E"/>
    <w:rsid w:val="00C318EB"/>
    <w:rsid w:val="00C333CC"/>
    <w:rsid w:val="00C3447B"/>
    <w:rsid w:val="00C3649F"/>
    <w:rsid w:val="00C36819"/>
    <w:rsid w:val="00C36B20"/>
    <w:rsid w:val="00C36D9F"/>
    <w:rsid w:val="00C37C7F"/>
    <w:rsid w:val="00C4195F"/>
    <w:rsid w:val="00C41D06"/>
    <w:rsid w:val="00C434E9"/>
    <w:rsid w:val="00C44ED3"/>
    <w:rsid w:val="00C46DDC"/>
    <w:rsid w:val="00C47C32"/>
    <w:rsid w:val="00C50242"/>
    <w:rsid w:val="00C515B7"/>
    <w:rsid w:val="00C52307"/>
    <w:rsid w:val="00C52560"/>
    <w:rsid w:val="00C5381E"/>
    <w:rsid w:val="00C54D12"/>
    <w:rsid w:val="00C55AA1"/>
    <w:rsid w:val="00C55C18"/>
    <w:rsid w:val="00C5607F"/>
    <w:rsid w:val="00C563D8"/>
    <w:rsid w:val="00C5670A"/>
    <w:rsid w:val="00C56B2F"/>
    <w:rsid w:val="00C6028E"/>
    <w:rsid w:val="00C61738"/>
    <w:rsid w:val="00C64128"/>
    <w:rsid w:val="00C6561F"/>
    <w:rsid w:val="00C70650"/>
    <w:rsid w:val="00C734EB"/>
    <w:rsid w:val="00C7620B"/>
    <w:rsid w:val="00C7782B"/>
    <w:rsid w:val="00C80975"/>
    <w:rsid w:val="00C80A58"/>
    <w:rsid w:val="00C81D3A"/>
    <w:rsid w:val="00C82A88"/>
    <w:rsid w:val="00C83BC1"/>
    <w:rsid w:val="00C906EC"/>
    <w:rsid w:val="00C926B5"/>
    <w:rsid w:val="00C92774"/>
    <w:rsid w:val="00C93A10"/>
    <w:rsid w:val="00C93AB0"/>
    <w:rsid w:val="00C9441D"/>
    <w:rsid w:val="00C94EDA"/>
    <w:rsid w:val="00C95268"/>
    <w:rsid w:val="00CA0A89"/>
    <w:rsid w:val="00CA0CB7"/>
    <w:rsid w:val="00CA12B3"/>
    <w:rsid w:val="00CA15BA"/>
    <w:rsid w:val="00CA1AD7"/>
    <w:rsid w:val="00CA2829"/>
    <w:rsid w:val="00CA4A78"/>
    <w:rsid w:val="00CA786A"/>
    <w:rsid w:val="00CB08FB"/>
    <w:rsid w:val="00CB0A78"/>
    <w:rsid w:val="00CB3415"/>
    <w:rsid w:val="00CB5507"/>
    <w:rsid w:val="00CB6025"/>
    <w:rsid w:val="00CB6D11"/>
    <w:rsid w:val="00CB7324"/>
    <w:rsid w:val="00CB7407"/>
    <w:rsid w:val="00CC0B41"/>
    <w:rsid w:val="00CC1C62"/>
    <w:rsid w:val="00CC6FF2"/>
    <w:rsid w:val="00CD3E89"/>
    <w:rsid w:val="00CD519C"/>
    <w:rsid w:val="00CE2A31"/>
    <w:rsid w:val="00CE3CDE"/>
    <w:rsid w:val="00CE4505"/>
    <w:rsid w:val="00CE4644"/>
    <w:rsid w:val="00CE5209"/>
    <w:rsid w:val="00CE5F87"/>
    <w:rsid w:val="00CE6F6A"/>
    <w:rsid w:val="00CF0607"/>
    <w:rsid w:val="00CF09B5"/>
    <w:rsid w:val="00CF1930"/>
    <w:rsid w:val="00CF2EBB"/>
    <w:rsid w:val="00CF38D0"/>
    <w:rsid w:val="00CF7521"/>
    <w:rsid w:val="00CF79B7"/>
    <w:rsid w:val="00D00C9A"/>
    <w:rsid w:val="00D0263D"/>
    <w:rsid w:val="00D045A2"/>
    <w:rsid w:val="00D04F6D"/>
    <w:rsid w:val="00D056DE"/>
    <w:rsid w:val="00D0654B"/>
    <w:rsid w:val="00D10AA2"/>
    <w:rsid w:val="00D10D06"/>
    <w:rsid w:val="00D11028"/>
    <w:rsid w:val="00D122D0"/>
    <w:rsid w:val="00D15851"/>
    <w:rsid w:val="00D16ADD"/>
    <w:rsid w:val="00D17165"/>
    <w:rsid w:val="00D26D95"/>
    <w:rsid w:val="00D32B27"/>
    <w:rsid w:val="00D34AD7"/>
    <w:rsid w:val="00D35568"/>
    <w:rsid w:val="00D35ACA"/>
    <w:rsid w:val="00D40549"/>
    <w:rsid w:val="00D406F7"/>
    <w:rsid w:val="00D4195E"/>
    <w:rsid w:val="00D41FA4"/>
    <w:rsid w:val="00D435CE"/>
    <w:rsid w:val="00D43AA6"/>
    <w:rsid w:val="00D45924"/>
    <w:rsid w:val="00D50707"/>
    <w:rsid w:val="00D51208"/>
    <w:rsid w:val="00D526C6"/>
    <w:rsid w:val="00D5322B"/>
    <w:rsid w:val="00D53895"/>
    <w:rsid w:val="00D57DA4"/>
    <w:rsid w:val="00D60CE4"/>
    <w:rsid w:val="00D6261F"/>
    <w:rsid w:val="00D62F4B"/>
    <w:rsid w:val="00D679DF"/>
    <w:rsid w:val="00D71EA6"/>
    <w:rsid w:val="00D7205B"/>
    <w:rsid w:val="00D7366B"/>
    <w:rsid w:val="00D77DA7"/>
    <w:rsid w:val="00D80AF3"/>
    <w:rsid w:val="00D81349"/>
    <w:rsid w:val="00D81AB9"/>
    <w:rsid w:val="00D82CA1"/>
    <w:rsid w:val="00D84ABC"/>
    <w:rsid w:val="00D85F53"/>
    <w:rsid w:val="00D9490F"/>
    <w:rsid w:val="00D9531F"/>
    <w:rsid w:val="00D97602"/>
    <w:rsid w:val="00DA16BE"/>
    <w:rsid w:val="00DA2DDF"/>
    <w:rsid w:val="00DA2F86"/>
    <w:rsid w:val="00DA4315"/>
    <w:rsid w:val="00DA487C"/>
    <w:rsid w:val="00DA5302"/>
    <w:rsid w:val="00DA5C89"/>
    <w:rsid w:val="00DA759F"/>
    <w:rsid w:val="00DB0534"/>
    <w:rsid w:val="00DB0F3E"/>
    <w:rsid w:val="00DB1DB7"/>
    <w:rsid w:val="00DB1FC3"/>
    <w:rsid w:val="00DC1C94"/>
    <w:rsid w:val="00DC47CE"/>
    <w:rsid w:val="00DC597F"/>
    <w:rsid w:val="00DC681D"/>
    <w:rsid w:val="00DC7283"/>
    <w:rsid w:val="00DC72C9"/>
    <w:rsid w:val="00DD1D17"/>
    <w:rsid w:val="00DD24E6"/>
    <w:rsid w:val="00DD2690"/>
    <w:rsid w:val="00DD2880"/>
    <w:rsid w:val="00DD2B89"/>
    <w:rsid w:val="00DD3D8C"/>
    <w:rsid w:val="00DD5031"/>
    <w:rsid w:val="00DD660E"/>
    <w:rsid w:val="00DE0732"/>
    <w:rsid w:val="00DE3420"/>
    <w:rsid w:val="00DE3C6A"/>
    <w:rsid w:val="00DE458E"/>
    <w:rsid w:val="00DE4D42"/>
    <w:rsid w:val="00DE50E5"/>
    <w:rsid w:val="00DE53F3"/>
    <w:rsid w:val="00DF041C"/>
    <w:rsid w:val="00DF2DEE"/>
    <w:rsid w:val="00DF57F2"/>
    <w:rsid w:val="00DF5AB1"/>
    <w:rsid w:val="00DF6FF8"/>
    <w:rsid w:val="00DF73E5"/>
    <w:rsid w:val="00DF74D4"/>
    <w:rsid w:val="00E02EE9"/>
    <w:rsid w:val="00E052BD"/>
    <w:rsid w:val="00E05573"/>
    <w:rsid w:val="00E05F62"/>
    <w:rsid w:val="00E06D10"/>
    <w:rsid w:val="00E10023"/>
    <w:rsid w:val="00E10582"/>
    <w:rsid w:val="00E106D5"/>
    <w:rsid w:val="00E13CFF"/>
    <w:rsid w:val="00E14B73"/>
    <w:rsid w:val="00E15A71"/>
    <w:rsid w:val="00E16797"/>
    <w:rsid w:val="00E20DDD"/>
    <w:rsid w:val="00E20EC9"/>
    <w:rsid w:val="00E22859"/>
    <w:rsid w:val="00E22EA5"/>
    <w:rsid w:val="00E235D0"/>
    <w:rsid w:val="00E243CC"/>
    <w:rsid w:val="00E243DD"/>
    <w:rsid w:val="00E31219"/>
    <w:rsid w:val="00E31E56"/>
    <w:rsid w:val="00E32151"/>
    <w:rsid w:val="00E32353"/>
    <w:rsid w:val="00E32672"/>
    <w:rsid w:val="00E34AB3"/>
    <w:rsid w:val="00E37177"/>
    <w:rsid w:val="00E43CFC"/>
    <w:rsid w:val="00E4639B"/>
    <w:rsid w:val="00E47814"/>
    <w:rsid w:val="00E500F8"/>
    <w:rsid w:val="00E518A9"/>
    <w:rsid w:val="00E52060"/>
    <w:rsid w:val="00E523E7"/>
    <w:rsid w:val="00E52822"/>
    <w:rsid w:val="00E52DEA"/>
    <w:rsid w:val="00E53428"/>
    <w:rsid w:val="00E54F02"/>
    <w:rsid w:val="00E6132A"/>
    <w:rsid w:val="00E63264"/>
    <w:rsid w:val="00E6418F"/>
    <w:rsid w:val="00E642DF"/>
    <w:rsid w:val="00E65DCB"/>
    <w:rsid w:val="00E66AAC"/>
    <w:rsid w:val="00E70A52"/>
    <w:rsid w:val="00E7435F"/>
    <w:rsid w:val="00E74657"/>
    <w:rsid w:val="00E74C92"/>
    <w:rsid w:val="00E767E1"/>
    <w:rsid w:val="00E854A1"/>
    <w:rsid w:val="00E86C32"/>
    <w:rsid w:val="00E86DCE"/>
    <w:rsid w:val="00E873FA"/>
    <w:rsid w:val="00E9387D"/>
    <w:rsid w:val="00E95FDE"/>
    <w:rsid w:val="00E95FFC"/>
    <w:rsid w:val="00E96C24"/>
    <w:rsid w:val="00EA02C6"/>
    <w:rsid w:val="00EA10AC"/>
    <w:rsid w:val="00EA3009"/>
    <w:rsid w:val="00EA3C0D"/>
    <w:rsid w:val="00EA3FF3"/>
    <w:rsid w:val="00EA73D5"/>
    <w:rsid w:val="00EB30A8"/>
    <w:rsid w:val="00EB3E5F"/>
    <w:rsid w:val="00EB42F5"/>
    <w:rsid w:val="00EB6724"/>
    <w:rsid w:val="00EB71EA"/>
    <w:rsid w:val="00EB77D0"/>
    <w:rsid w:val="00EC10AD"/>
    <w:rsid w:val="00EC582E"/>
    <w:rsid w:val="00EC6D9A"/>
    <w:rsid w:val="00EC7C7A"/>
    <w:rsid w:val="00ED184C"/>
    <w:rsid w:val="00ED1C33"/>
    <w:rsid w:val="00ED2A11"/>
    <w:rsid w:val="00ED3875"/>
    <w:rsid w:val="00ED3ED9"/>
    <w:rsid w:val="00ED41A8"/>
    <w:rsid w:val="00ED48E6"/>
    <w:rsid w:val="00ED6D3E"/>
    <w:rsid w:val="00EE24AD"/>
    <w:rsid w:val="00EE2DFF"/>
    <w:rsid w:val="00EE476B"/>
    <w:rsid w:val="00EF2E06"/>
    <w:rsid w:val="00EF32EB"/>
    <w:rsid w:val="00EF4FF4"/>
    <w:rsid w:val="00EF6B9C"/>
    <w:rsid w:val="00EF74B9"/>
    <w:rsid w:val="00F0002C"/>
    <w:rsid w:val="00F038EE"/>
    <w:rsid w:val="00F05FF5"/>
    <w:rsid w:val="00F060F7"/>
    <w:rsid w:val="00F1008D"/>
    <w:rsid w:val="00F126EB"/>
    <w:rsid w:val="00F12933"/>
    <w:rsid w:val="00F136B5"/>
    <w:rsid w:val="00F163D6"/>
    <w:rsid w:val="00F175D5"/>
    <w:rsid w:val="00F20005"/>
    <w:rsid w:val="00F22B94"/>
    <w:rsid w:val="00F24998"/>
    <w:rsid w:val="00F24D11"/>
    <w:rsid w:val="00F253F6"/>
    <w:rsid w:val="00F25450"/>
    <w:rsid w:val="00F263CF"/>
    <w:rsid w:val="00F3122D"/>
    <w:rsid w:val="00F322E8"/>
    <w:rsid w:val="00F34168"/>
    <w:rsid w:val="00F344BF"/>
    <w:rsid w:val="00F36AE2"/>
    <w:rsid w:val="00F36CCB"/>
    <w:rsid w:val="00F404D3"/>
    <w:rsid w:val="00F41E88"/>
    <w:rsid w:val="00F4499C"/>
    <w:rsid w:val="00F45EC8"/>
    <w:rsid w:val="00F4640C"/>
    <w:rsid w:val="00F46C0E"/>
    <w:rsid w:val="00F47849"/>
    <w:rsid w:val="00F502DB"/>
    <w:rsid w:val="00F509CF"/>
    <w:rsid w:val="00F51133"/>
    <w:rsid w:val="00F51EAD"/>
    <w:rsid w:val="00F5219A"/>
    <w:rsid w:val="00F531A6"/>
    <w:rsid w:val="00F548B2"/>
    <w:rsid w:val="00F5640E"/>
    <w:rsid w:val="00F56D28"/>
    <w:rsid w:val="00F56EC6"/>
    <w:rsid w:val="00F5780C"/>
    <w:rsid w:val="00F624D0"/>
    <w:rsid w:val="00F62734"/>
    <w:rsid w:val="00F6291A"/>
    <w:rsid w:val="00F67B68"/>
    <w:rsid w:val="00F75385"/>
    <w:rsid w:val="00F76632"/>
    <w:rsid w:val="00F76D87"/>
    <w:rsid w:val="00F809D2"/>
    <w:rsid w:val="00F80E52"/>
    <w:rsid w:val="00F8297A"/>
    <w:rsid w:val="00F82FEE"/>
    <w:rsid w:val="00F84DFF"/>
    <w:rsid w:val="00F84FB3"/>
    <w:rsid w:val="00F85F72"/>
    <w:rsid w:val="00F86036"/>
    <w:rsid w:val="00F861C3"/>
    <w:rsid w:val="00F87926"/>
    <w:rsid w:val="00F87C46"/>
    <w:rsid w:val="00F87C8F"/>
    <w:rsid w:val="00F87D14"/>
    <w:rsid w:val="00FA0971"/>
    <w:rsid w:val="00FA14E1"/>
    <w:rsid w:val="00FA28D6"/>
    <w:rsid w:val="00FA3374"/>
    <w:rsid w:val="00FA6BB3"/>
    <w:rsid w:val="00FA7632"/>
    <w:rsid w:val="00FB03E2"/>
    <w:rsid w:val="00FB1749"/>
    <w:rsid w:val="00FC0D2F"/>
    <w:rsid w:val="00FC1D15"/>
    <w:rsid w:val="00FC3716"/>
    <w:rsid w:val="00FC3E01"/>
    <w:rsid w:val="00FC3F4A"/>
    <w:rsid w:val="00FC5BF5"/>
    <w:rsid w:val="00FC78DD"/>
    <w:rsid w:val="00FC798E"/>
    <w:rsid w:val="00FD08E6"/>
    <w:rsid w:val="00FD61C1"/>
    <w:rsid w:val="00FD7AEA"/>
    <w:rsid w:val="00FE0916"/>
    <w:rsid w:val="00FE0EE6"/>
    <w:rsid w:val="00FE206E"/>
    <w:rsid w:val="00FE4209"/>
    <w:rsid w:val="00FE561F"/>
    <w:rsid w:val="00FE5B17"/>
    <w:rsid w:val="00FF0947"/>
    <w:rsid w:val="00FF10AF"/>
    <w:rsid w:val="00FF2256"/>
    <w:rsid w:val="00FF22DB"/>
    <w:rsid w:val="00FF2554"/>
    <w:rsid w:val="00FF255F"/>
    <w:rsid w:val="00FF3FA0"/>
    <w:rsid w:val="00FF5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6004"/>
  <w15:chartTrackingRefBased/>
  <w15:docId w15:val="{E1517072-ED68-47B6-8AAC-4B50049C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moj,Akapit z listą11,podpunkt ankietyy"/>
    <w:basedOn w:val="Normalny"/>
    <w:link w:val="AkapitzlistZnak"/>
    <w:uiPriority w:val="72"/>
    <w:qFormat/>
    <w:rsid w:val="009C2DB3"/>
    <w:pPr>
      <w:ind w:left="720"/>
      <w:contextualSpacing/>
    </w:pPr>
  </w:style>
  <w:style w:type="character" w:styleId="Odwoaniedokomentarza">
    <w:name w:val="annotation reference"/>
    <w:basedOn w:val="Domylnaczcionkaakapitu"/>
    <w:uiPriority w:val="99"/>
    <w:semiHidden/>
    <w:unhideWhenUsed/>
    <w:rsid w:val="000C47EB"/>
    <w:rPr>
      <w:sz w:val="16"/>
      <w:szCs w:val="16"/>
    </w:rPr>
  </w:style>
  <w:style w:type="paragraph" w:styleId="Tekstkomentarza">
    <w:name w:val="annotation text"/>
    <w:basedOn w:val="Normalny"/>
    <w:link w:val="TekstkomentarzaZnak"/>
    <w:uiPriority w:val="99"/>
    <w:unhideWhenUsed/>
    <w:rsid w:val="000C47EB"/>
    <w:pPr>
      <w:spacing w:line="240" w:lineRule="auto"/>
    </w:pPr>
    <w:rPr>
      <w:sz w:val="20"/>
      <w:szCs w:val="20"/>
    </w:rPr>
  </w:style>
  <w:style w:type="character" w:customStyle="1" w:styleId="TekstkomentarzaZnak">
    <w:name w:val="Tekst komentarza Znak"/>
    <w:basedOn w:val="Domylnaczcionkaakapitu"/>
    <w:link w:val="Tekstkomentarza"/>
    <w:uiPriority w:val="99"/>
    <w:rsid w:val="000C47EB"/>
    <w:rPr>
      <w:sz w:val="20"/>
      <w:szCs w:val="20"/>
    </w:rPr>
  </w:style>
  <w:style w:type="paragraph" w:styleId="Tematkomentarza">
    <w:name w:val="annotation subject"/>
    <w:basedOn w:val="Tekstkomentarza"/>
    <w:next w:val="Tekstkomentarza"/>
    <w:link w:val="TematkomentarzaZnak"/>
    <w:uiPriority w:val="99"/>
    <w:semiHidden/>
    <w:unhideWhenUsed/>
    <w:rsid w:val="000C47EB"/>
    <w:rPr>
      <w:b/>
      <w:bCs/>
    </w:rPr>
  </w:style>
  <w:style w:type="character" w:customStyle="1" w:styleId="TematkomentarzaZnak">
    <w:name w:val="Temat komentarza Znak"/>
    <w:basedOn w:val="TekstkomentarzaZnak"/>
    <w:link w:val="Tematkomentarza"/>
    <w:uiPriority w:val="99"/>
    <w:semiHidden/>
    <w:rsid w:val="000C47EB"/>
    <w:rPr>
      <w:b/>
      <w:bCs/>
      <w:sz w:val="20"/>
      <w:szCs w:val="20"/>
    </w:rPr>
  </w:style>
  <w:style w:type="paragraph" w:styleId="Tekstdymka">
    <w:name w:val="Balloon Text"/>
    <w:basedOn w:val="Normalny"/>
    <w:link w:val="TekstdymkaZnak"/>
    <w:uiPriority w:val="99"/>
    <w:semiHidden/>
    <w:unhideWhenUsed/>
    <w:rsid w:val="000C47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7EB"/>
    <w:rPr>
      <w:rFonts w:ascii="Segoe UI" w:hAnsi="Segoe UI" w:cs="Segoe UI"/>
      <w:sz w:val="18"/>
      <w:szCs w:val="18"/>
    </w:rPr>
  </w:style>
  <w:style w:type="character" w:customStyle="1" w:styleId="AkapitzlistZnak">
    <w:name w:val="Akapit z listą Znak"/>
    <w:aliases w:val="Styl moj Znak,Akapit z listą11 Znak,podpunkt ankietyy Znak"/>
    <w:link w:val="Akapitzlist"/>
    <w:uiPriority w:val="34"/>
    <w:locked/>
    <w:rsid w:val="00C03ECF"/>
  </w:style>
  <w:style w:type="paragraph" w:styleId="Nagwek">
    <w:name w:val="header"/>
    <w:basedOn w:val="Normalny"/>
    <w:link w:val="NagwekZnak"/>
    <w:uiPriority w:val="99"/>
    <w:unhideWhenUsed/>
    <w:rsid w:val="00687D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D33"/>
  </w:style>
  <w:style w:type="paragraph" w:styleId="Stopka">
    <w:name w:val="footer"/>
    <w:basedOn w:val="Normalny"/>
    <w:link w:val="StopkaZnak"/>
    <w:uiPriority w:val="99"/>
    <w:unhideWhenUsed/>
    <w:rsid w:val="00687D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D33"/>
  </w:style>
  <w:style w:type="paragraph" w:styleId="Poprawka">
    <w:name w:val="Revision"/>
    <w:hidden/>
    <w:uiPriority w:val="99"/>
    <w:semiHidden/>
    <w:rsid w:val="002177F1"/>
    <w:pPr>
      <w:spacing w:after="0" w:line="240" w:lineRule="auto"/>
    </w:pPr>
  </w:style>
  <w:style w:type="paragraph" w:customStyle="1" w:styleId="Default">
    <w:name w:val="Default"/>
    <w:rsid w:val="004770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omylnaczcionkaakapitu"/>
    <w:rsid w:val="004B35BF"/>
    <w:rPr>
      <w:rFonts w:ascii="Segoe UI" w:hAnsi="Segoe UI" w:cs="Segoe UI" w:hint="default"/>
      <w:sz w:val="18"/>
      <w:szCs w:val="18"/>
    </w:rPr>
  </w:style>
  <w:style w:type="paragraph" w:customStyle="1" w:styleId="pf0">
    <w:name w:val="pf0"/>
    <w:basedOn w:val="Normalny"/>
    <w:rsid w:val="0072106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84">
      <w:bodyDiv w:val="1"/>
      <w:marLeft w:val="0"/>
      <w:marRight w:val="0"/>
      <w:marTop w:val="0"/>
      <w:marBottom w:val="0"/>
      <w:divBdr>
        <w:top w:val="none" w:sz="0" w:space="0" w:color="auto"/>
        <w:left w:val="none" w:sz="0" w:space="0" w:color="auto"/>
        <w:bottom w:val="none" w:sz="0" w:space="0" w:color="auto"/>
        <w:right w:val="none" w:sz="0" w:space="0" w:color="auto"/>
      </w:divBdr>
    </w:div>
    <w:div w:id="55320440">
      <w:bodyDiv w:val="1"/>
      <w:marLeft w:val="0"/>
      <w:marRight w:val="0"/>
      <w:marTop w:val="0"/>
      <w:marBottom w:val="0"/>
      <w:divBdr>
        <w:top w:val="none" w:sz="0" w:space="0" w:color="auto"/>
        <w:left w:val="none" w:sz="0" w:space="0" w:color="auto"/>
        <w:bottom w:val="none" w:sz="0" w:space="0" w:color="auto"/>
        <w:right w:val="none" w:sz="0" w:space="0" w:color="auto"/>
      </w:divBdr>
    </w:div>
    <w:div w:id="189346062">
      <w:bodyDiv w:val="1"/>
      <w:marLeft w:val="0"/>
      <w:marRight w:val="0"/>
      <w:marTop w:val="0"/>
      <w:marBottom w:val="0"/>
      <w:divBdr>
        <w:top w:val="none" w:sz="0" w:space="0" w:color="auto"/>
        <w:left w:val="none" w:sz="0" w:space="0" w:color="auto"/>
        <w:bottom w:val="none" w:sz="0" w:space="0" w:color="auto"/>
        <w:right w:val="none" w:sz="0" w:space="0" w:color="auto"/>
      </w:divBdr>
    </w:div>
    <w:div w:id="227426741">
      <w:bodyDiv w:val="1"/>
      <w:marLeft w:val="0"/>
      <w:marRight w:val="0"/>
      <w:marTop w:val="0"/>
      <w:marBottom w:val="0"/>
      <w:divBdr>
        <w:top w:val="none" w:sz="0" w:space="0" w:color="auto"/>
        <w:left w:val="none" w:sz="0" w:space="0" w:color="auto"/>
        <w:bottom w:val="none" w:sz="0" w:space="0" w:color="auto"/>
        <w:right w:val="none" w:sz="0" w:space="0" w:color="auto"/>
      </w:divBdr>
    </w:div>
    <w:div w:id="248394813">
      <w:bodyDiv w:val="1"/>
      <w:marLeft w:val="0"/>
      <w:marRight w:val="0"/>
      <w:marTop w:val="0"/>
      <w:marBottom w:val="0"/>
      <w:divBdr>
        <w:top w:val="none" w:sz="0" w:space="0" w:color="auto"/>
        <w:left w:val="none" w:sz="0" w:space="0" w:color="auto"/>
        <w:bottom w:val="none" w:sz="0" w:space="0" w:color="auto"/>
        <w:right w:val="none" w:sz="0" w:space="0" w:color="auto"/>
      </w:divBdr>
    </w:div>
    <w:div w:id="261493735">
      <w:bodyDiv w:val="1"/>
      <w:marLeft w:val="0"/>
      <w:marRight w:val="0"/>
      <w:marTop w:val="0"/>
      <w:marBottom w:val="0"/>
      <w:divBdr>
        <w:top w:val="none" w:sz="0" w:space="0" w:color="auto"/>
        <w:left w:val="none" w:sz="0" w:space="0" w:color="auto"/>
        <w:bottom w:val="none" w:sz="0" w:space="0" w:color="auto"/>
        <w:right w:val="none" w:sz="0" w:space="0" w:color="auto"/>
      </w:divBdr>
    </w:div>
    <w:div w:id="388652782">
      <w:bodyDiv w:val="1"/>
      <w:marLeft w:val="0"/>
      <w:marRight w:val="0"/>
      <w:marTop w:val="0"/>
      <w:marBottom w:val="0"/>
      <w:divBdr>
        <w:top w:val="none" w:sz="0" w:space="0" w:color="auto"/>
        <w:left w:val="none" w:sz="0" w:space="0" w:color="auto"/>
        <w:bottom w:val="none" w:sz="0" w:space="0" w:color="auto"/>
        <w:right w:val="none" w:sz="0" w:space="0" w:color="auto"/>
      </w:divBdr>
    </w:div>
    <w:div w:id="394283173">
      <w:bodyDiv w:val="1"/>
      <w:marLeft w:val="0"/>
      <w:marRight w:val="0"/>
      <w:marTop w:val="0"/>
      <w:marBottom w:val="0"/>
      <w:divBdr>
        <w:top w:val="none" w:sz="0" w:space="0" w:color="auto"/>
        <w:left w:val="none" w:sz="0" w:space="0" w:color="auto"/>
        <w:bottom w:val="none" w:sz="0" w:space="0" w:color="auto"/>
        <w:right w:val="none" w:sz="0" w:space="0" w:color="auto"/>
      </w:divBdr>
    </w:div>
    <w:div w:id="397748913">
      <w:bodyDiv w:val="1"/>
      <w:marLeft w:val="0"/>
      <w:marRight w:val="0"/>
      <w:marTop w:val="0"/>
      <w:marBottom w:val="0"/>
      <w:divBdr>
        <w:top w:val="none" w:sz="0" w:space="0" w:color="auto"/>
        <w:left w:val="none" w:sz="0" w:space="0" w:color="auto"/>
        <w:bottom w:val="none" w:sz="0" w:space="0" w:color="auto"/>
        <w:right w:val="none" w:sz="0" w:space="0" w:color="auto"/>
      </w:divBdr>
    </w:div>
    <w:div w:id="573779184">
      <w:bodyDiv w:val="1"/>
      <w:marLeft w:val="0"/>
      <w:marRight w:val="0"/>
      <w:marTop w:val="0"/>
      <w:marBottom w:val="0"/>
      <w:divBdr>
        <w:top w:val="none" w:sz="0" w:space="0" w:color="auto"/>
        <w:left w:val="none" w:sz="0" w:space="0" w:color="auto"/>
        <w:bottom w:val="none" w:sz="0" w:space="0" w:color="auto"/>
        <w:right w:val="none" w:sz="0" w:space="0" w:color="auto"/>
      </w:divBdr>
    </w:div>
    <w:div w:id="620259699">
      <w:bodyDiv w:val="1"/>
      <w:marLeft w:val="0"/>
      <w:marRight w:val="0"/>
      <w:marTop w:val="0"/>
      <w:marBottom w:val="0"/>
      <w:divBdr>
        <w:top w:val="none" w:sz="0" w:space="0" w:color="auto"/>
        <w:left w:val="none" w:sz="0" w:space="0" w:color="auto"/>
        <w:bottom w:val="none" w:sz="0" w:space="0" w:color="auto"/>
        <w:right w:val="none" w:sz="0" w:space="0" w:color="auto"/>
      </w:divBdr>
    </w:div>
    <w:div w:id="796022045">
      <w:bodyDiv w:val="1"/>
      <w:marLeft w:val="0"/>
      <w:marRight w:val="0"/>
      <w:marTop w:val="0"/>
      <w:marBottom w:val="0"/>
      <w:divBdr>
        <w:top w:val="none" w:sz="0" w:space="0" w:color="auto"/>
        <w:left w:val="none" w:sz="0" w:space="0" w:color="auto"/>
        <w:bottom w:val="none" w:sz="0" w:space="0" w:color="auto"/>
        <w:right w:val="none" w:sz="0" w:space="0" w:color="auto"/>
      </w:divBdr>
    </w:div>
    <w:div w:id="857693941">
      <w:bodyDiv w:val="1"/>
      <w:marLeft w:val="0"/>
      <w:marRight w:val="0"/>
      <w:marTop w:val="0"/>
      <w:marBottom w:val="0"/>
      <w:divBdr>
        <w:top w:val="none" w:sz="0" w:space="0" w:color="auto"/>
        <w:left w:val="none" w:sz="0" w:space="0" w:color="auto"/>
        <w:bottom w:val="none" w:sz="0" w:space="0" w:color="auto"/>
        <w:right w:val="none" w:sz="0" w:space="0" w:color="auto"/>
      </w:divBdr>
    </w:div>
    <w:div w:id="900989605">
      <w:bodyDiv w:val="1"/>
      <w:marLeft w:val="0"/>
      <w:marRight w:val="0"/>
      <w:marTop w:val="0"/>
      <w:marBottom w:val="0"/>
      <w:divBdr>
        <w:top w:val="none" w:sz="0" w:space="0" w:color="auto"/>
        <w:left w:val="none" w:sz="0" w:space="0" w:color="auto"/>
        <w:bottom w:val="none" w:sz="0" w:space="0" w:color="auto"/>
        <w:right w:val="none" w:sz="0" w:space="0" w:color="auto"/>
      </w:divBdr>
    </w:div>
    <w:div w:id="1041712350">
      <w:bodyDiv w:val="1"/>
      <w:marLeft w:val="0"/>
      <w:marRight w:val="0"/>
      <w:marTop w:val="0"/>
      <w:marBottom w:val="0"/>
      <w:divBdr>
        <w:top w:val="none" w:sz="0" w:space="0" w:color="auto"/>
        <w:left w:val="none" w:sz="0" w:space="0" w:color="auto"/>
        <w:bottom w:val="none" w:sz="0" w:space="0" w:color="auto"/>
        <w:right w:val="none" w:sz="0" w:space="0" w:color="auto"/>
      </w:divBdr>
    </w:div>
    <w:div w:id="1054157660">
      <w:bodyDiv w:val="1"/>
      <w:marLeft w:val="0"/>
      <w:marRight w:val="0"/>
      <w:marTop w:val="0"/>
      <w:marBottom w:val="0"/>
      <w:divBdr>
        <w:top w:val="none" w:sz="0" w:space="0" w:color="auto"/>
        <w:left w:val="none" w:sz="0" w:space="0" w:color="auto"/>
        <w:bottom w:val="none" w:sz="0" w:space="0" w:color="auto"/>
        <w:right w:val="none" w:sz="0" w:space="0" w:color="auto"/>
      </w:divBdr>
    </w:div>
    <w:div w:id="1125659525">
      <w:bodyDiv w:val="1"/>
      <w:marLeft w:val="0"/>
      <w:marRight w:val="0"/>
      <w:marTop w:val="0"/>
      <w:marBottom w:val="0"/>
      <w:divBdr>
        <w:top w:val="none" w:sz="0" w:space="0" w:color="auto"/>
        <w:left w:val="none" w:sz="0" w:space="0" w:color="auto"/>
        <w:bottom w:val="none" w:sz="0" w:space="0" w:color="auto"/>
        <w:right w:val="none" w:sz="0" w:space="0" w:color="auto"/>
      </w:divBdr>
    </w:div>
    <w:div w:id="1174998539">
      <w:bodyDiv w:val="1"/>
      <w:marLeft w:val="0"/>
      <w:marRight w:val="0"/>
      <w:marTop w:val="0"/>
      <w:marBottom w:val="0"/>
      <w:divBdr>
        <w:top w:val="none" w:sz="0" w:space="0" w:color="auto"/>
        <w:left w:val="none" w:sz="0" w:space="0" w:color="auto"/>
        <w:bottom w:val="none" w:sz="0" w:space="0" w:color="auto"/>
        <w:right w:val="none" w:sz="0" w:space="0" w:color="auto"/>
      </w:divBdr>
    </w:div>
    <w:div w:id="1387218239">
      <w:bodyDiv w:val="1"/>
      <w:marLeft w:val="0"/>
      <w:marRight w:val="0"/>
      <w:marTop w:val="0"/>
      <w:marBottom w:val="0"/>
      <w:divBdr>
        <w:top w:val="none" w:sz="0" w:space="0" w:color="auto"/>
        <w:left w:val="none" w:sz="0" w:space="0" w:color="auto"/>
        <w:bottom w:val="none" w:sz="0" w:space="0" w:color="auto"/>
        <w:right w:val="none" w:sz="0" w:space="0" w:color="auto"/>
      </w:divBdr>
    </w:div>
    <w:div w:id="1595899146">
      <w:bodyDiv w:val="1"/>
      <w:marLeft w:val="0"/>
      <w:marRight w:val="0"/>
      <w:marTop w:val="0"/>
      <w:marBottom w:val="0"/>
      <w:divBdr>
        <w:top w:val="none" w:sz="0" w:space="0" w:color="auto"/>
        <w:left w:val="none" w:sz="0" w:space="0" w:color="auto"/>
        <w:bottom w:val="none" w:sz="0" w:space="0" w:color="auto"/>
        <w:right w:val="none" w:sz="0" w:space="0" w:color="auto"/>
      </w:divBdr>
    </w:div>
    <w:div w:id="1655841328">
      <w:bodyDiv w:val="1"/>
      <w:marLeft w:val="0"/>
      <w:marRight w:val="0"/>
      <w:marTop w:val="0"/>
      <w:marBottom w:val="0"/>
      <w:divBdr>
        <w:top w:val="none" w:sz="0" w:space="0" w:color="auto"/>
        <w:left w:val="none" w:sz="0" w:space="0" w:color="auto"/>
        <w:bottom w:val="none" w:sz="0" w:space="0" w:color="auto"/>
        <w:right w:val="none" w:sz="0" w:space="0" w:color="auto"/>
      </w:divBdr>
    </w:div>
    <w:div w:id="1864900388">
      <w:bodyDiv w:val="1"/>
      <w:marLeft w:val="0"/>
      <w:marRight w:val="0"/>
      <w:marTop w:val="0"/>
      <w:marBottom w:val="0"/>
      <w:divBdr>
        <w:top w:val="none" w:sz="0" w:space="0" w:color="auto"/>
        <w:left w:val="none" w:sz="0" w:space="0" w:color="auto"/>
        <w:bottom w:val="none" w:sz="0" w:space="0" w:color="auto"/>
        <w:right w:val="none" w:sz="0" w:space="0" w:color="auto"/>
      </w:divBdr>
    </w:div>
    <w:div w:id="1946423008">
      <w:bodyDiv w:val="1"/>
      <w:marLeft w:val="0"/>
      <w:marRight w:val="0"/>
      <w:marTop w:val="0"/>
      <w:marBottom w:val="0"/>
      <w:divBdr>
        <w:top w:val="none" w:sz="0" w:space="0" w:color="auto"/>
        <w:left w:val="none" w:sz="0" w:space="0" w:color="auto"/>
        <w:bottom w:val="none" w:sz="0" w:space="0" w:color="auto"/>
        <w:right w:val="none" w:sz="0" w:space="0" w:color="auto"/>
      </w:divBdr>
    </w:div>
    <w:div w:id="2014380182">
      <w:bodyDiv w:val="1"/>
      <w:marLeft w:val="0"/>
      <w:marRight w:val="0"/>
      <w:marTop w:val="0"/>
      <w:marBottom w:val="0"/>
      <w:divBdr>
        <w:top w:val="none" w:sz="0" w:space="0" w:color="auto"/>
        <w:left w:val="none" w:sz="0" w:space="0" w:color="auto"/>
        <w:bottom w:val="none" w:sz="0" w:space="0" w:color="auto"/>
        <w:right w:val="none" w:sz="0" w:space="0" w:color="auto"/>
      </w:divBdr>
    </w:div>
    <w:div w:id="2049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AF18-77F9-45C4-B560-80EE5D95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Protas Anna</dc:creator>
  <cp:keywords/>
  <dc:description/>
  <cp:lastModifiedBy>Ewa Lech-Marańda</cp:lastModifiedBy>
  <cp:revision>2</cp:revision>
  <dcterms:created xsi:type="dcterms:W3CDTF">2022-12-31T16:02:00Z</dcterms:created>
  <dcterms:modified xsi:type="dcterms:W3CDTF">2022-12-31T16:02:00Z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c3ee76e35370a4fd05c42b683c455aab70dc882f38738c9d53141b935f7de38d</vt:lpwstr>
  </property>
</Properties>
</file>